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svg" ContentType="image/svg+xml"/>
  <Default Extension="webp" ContentType="image/png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word/footer1.xml" ContentType="application/vnd.openxmlformats-officedocument.wordprocessingml.footer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body>
    <w:tbl>
      <w:tblPr>
        <w:tblStyle w:val="NormalTable"/>
        <w:name w:val="Таблица1"/>
        <w:tabOrder w:val="0"/>
        <w:jc w:val="left"/>
        <w:tblInd w:w="0" w:type="dxa"/>
        <w:tblW w:w="10182" w:type="dxa"/>
        <w:tblLook w:val="01E0" w:firstRow="1" w:lastRow="1" w:firstColumn="1" w:lastColumn="1" w:noHBand="0" w:noVBand="0"/>
      </w:tblPr>
      <w:tblGrid>
        <w:gridCol w:w="1529"/>
        <w:gridCol w:w="628"/>
        <w:gridCol w:w="396"/>
        <w:gridCol w:w="1752"/>
        <w:gridCol w:w="529"/>
        <w:gridCol w:w="506"/>
        <w:gridCol w:w="585"/>
        <w:gridCol w:w="586"/>
        <w:gridCol w:w="1961"/>
        <w:gridCol w:w="1710"/>
      </w:tblGrid>
      <w:tr>
        <w:trPr>
          <w:tblHeader w:val="0"/>
          <w:cantSplit w:val="0"/>
          <w:trHeight w:val="1210" w:hRule="atLeast"/>
        </w:trPr>
        <w:tc>
          <w:tcPr>
            <w:tcW w:w="10182" w:type="dxa"/>
            <w:gridSpan w:val="10"/>
            <w:tmTcPr id="1787120411" protected="0"/>
          </w:tcPr>
          <w:p>
            <w:pPr>
              <w:spacing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lang w:eastAsia="ru-ru"/>
              </w:rPr>
            </w:r>
            <w:r>
              <w:rPr>
                <w:noProof/>
              </w:rPr>
              <w:drawing>
                <wp:inline distT="0" distB="0" distL="0" distR="0">
                  <wp:extent cx="457200" cy="7239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  <a:extLst>
                              <a:ext uri="sm">
                                <sm:smNativeData xmlns:sm="sm" val="SMDATA_16_G0uF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AAAAAB6AAAAAAAAABAAAAAAAAAAAAAAAAAAAAAAAAAAAAAAAAAAAA0AIAAHQEAAAAAAAAAAAAAAAAAAAoAAAACAAAAAEAAAABAAAA"/>
                              </a:ext>
                            </a:extLst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72390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lang w:eastAsia="ru-ru"/>
              </w:rPr>
            </w:r>
            <w:r>
              <w:rPr>
                <w:sz w:val="24"/>
                <w:szCs w:val="24"/>
                <w:lang w:eastAsia="ru-ru"/>
              </w:rPr>
            </w:r>
          </w:p>
        </w:tc>
      </w:tr>
      <w:tr>
        <w:trPr>
          <w:tblHeader w:val="0"/>
          <w:cantSplit w:val="0"/>
          <w:trHeight w:val="1336" w:hRule="atLeast"/>
        </w:trPr>
        <w:tc>
          <w:tcPr>
            <w:tcW w:w="10182" w:type="dxa"/>
            <w:gridSpan w:val="10"/>
            <w:tmTcPr id="1787120411" protected="0"/>
          </w:tcPr>
          <w:p>
            <w:pPr>
              <w:spacing/>
              <w:jc w:val="center"/>
              <w:rPr>
                <w:b/>
                <w:caps/>
                <w:sz w:val="28"/>
                <w:szCs w:val="28"/>
                <w:lang w:eastAsia="ru-ru"/>
              </w:rPr>
            </w:pPr>
            <w:r/>
            <w:bookmarkStart w:id="0" w:name="r06"/>
            <w:r/>
            <w:r>
              <w:rPr>
                <w:b/>
                <w:caps/>
                <w:sz w:val="28"/>
                <w:szCs w:val="28"/>
                <w:lang w:eastAsia="ru-ru"/>
              </w:rPr>
              <w:t>КЕМЕРОВСКАЯ ОБЛАСТЬ-КУЗБАСС</w:t>
            </w:r>
            <w:r>
              <w:rPr>
                <w:b/>
                <w:caps/>
                <w:sz w:val="28"/>
                <w:szCs w:val="28"/>
                <w:lang w:eastAsia="ru-ru"/>
              </w:rPr>
            </w:r>
          </w:p>
          <w:p>
            <w:pPr>
              <w:spacing/>
              <w:jc w:val="center"/>
              <w:rPr>
                <w:b/>
                <w:caps/>
                <w:sz w:val="28"/>
                <w:szCs w:val="28"/>
                <w:lang w:eastAsia="ru-ru"/>
              </w:rPr>
            </w:pPr>
            <w:r>
              <w:rPr>
                <w:b/>
                <w:caps/>
                <w:sz w:val="28"/>
                <w:szCs w:val="28"/>
                <w:lang w:eastAsia="ru-ru"/>
              </w:rPr>
              <w:t>Анжеро-Судженский городской округ</w:t>
            </w:r>
          </w:p>
          <w:p>
            <w:pPr>
              <w:spacing/>
              <w:jc w:val="center"/>
              <w:rPr>
                <w:b/>
                <w:caps/>
                <w:sz w:val="28"/>
                <w:szCs w:val="28"/>
                <w:lang w:eastAsia="ru-ru"/>
              </w:rPr>
            </w:pPr>
            <w:r>
              <w:rPr>
                <w:b/>
                <w:caps/>
                <w:sz w:val="28"/>
                <w:szCs w:val="28"/>
                <w:lang w:eastAsia="ru-ru"/>
              </w:rPr>
              <w:t>Администрация Анжеро-Судженского</w:t>
            </w:r>
            <w:r/>
            <w:bookmarkEnd w:id="0"/>
            <w:r/>
            <w:r>
              <w:rPr>
                <w:b/>
                <w:caps/>
                <w:sz w:val="28"/>
                <w:szCs w:val="28"/>
                <w:lang w:eastAsia="ru-ru"/>
              </w:rPr>
              <w:t xml:space="preserve"> городского округа</w:t>
            </w:r>
            <w:r>
              <w:rPr>
                <w:b/>
                <w:caps/>
                <w:sz w:val="28"/>
                <w:szCs w:val="28"/>
                <w:lang w:eastAsia="ru-ru"/>
              </w:rPr>
            </w:r>
          </w:p>
          <w:p>
            <w:pPr>
              <w:spacing/>
              <w:jc w:val="center"/>
              <w:rPr>
                <w:rFonts w:ascii="Arial Narrow" w:hAnsi="Arial Narrow"/>
                <w:b/>
                <w:caps/>
                <w:sz w:val="26"/>
                <w:szCs w:val="26"/>
                <w:lang w:eastAsia="ru-ru"/>
              </w:rPr>
            </w:pPr>
            <w:r>
              <w:rPr>
                <w:rFonts w:ascii="Arial Narrow" w:hAnsi="Arial Narrow"/>
                <w:b/>
                <w:caps/>
                <w:sz w:val="26"/>
                <w:szCs w:val="26"/>
                <w:lang w:eastAsia="ru-ru"/>
              </w:rPr>
            </w:r>
          </w:p>
        </w:tc>
      </w:tr>
      <w:tr>
        <w:trPr>
          <w:tblHeader w:val="0"/>
          <w:cantSplit w:val="0"/>
          <w:trHeight w:val="493" w:hRule="atLeast"/>
        </w:trPr>
        <w:tc>
          <w:tcPr>
            <w:tcW w:w="10182" w:type="dxa"/>
            <w:gridSpan w:val="10"/>
            <w:tmTcPr id="1787120411" protected="0"/>
          </w:tcPr>
          <w:p>
            <w:pPr>
              <w:spacing/>
              <w:jc w:val="center"/>
              <w:rPr>
                <w:rFonts w:ascii="Arial Narrow" w:hAnsi="Arial Narrow"/>
                <w:b/>
                <w:caps/>
                <w:sz w:val="24"/>
                <w:szCs w:val="24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ПОСТАНОВЛЕНИЕ</w:t>
            </w:r>
            <w:r>
              <w:rPr>
                <w:rFonts w:ascii="Arial Narrow" w:hAnsi="Arial Narrow"/>
                <w:b/>
                <w:caps/>
                <w:sz w:val="24"/>
                <w:szCs w:val="24"/>
                <w:lang w:eastAsia="ru-ru"/>
              </w:rPr>
            </w:r>
          </w:p>
        </w:tc>
      </w:tr>
      <w:tr>
        <w:trPr>
          <w:tblHeader w:val="0"/>
          <w:cantSplit w:val="0"/>
          <w:trHeight w:val="267" w:hRule="atLeast"/>
        </w:trPr>
        <w:tc>
          <w:tcPr>
            <w:tcW w:w="10182" w:type="dxa"/>
            <w:gridSpan w:val="10"/>
            <w:tmTcPr id="1787120411" protected="0"/>
          </w:tcPr>
          <w:p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</w:r>
          </w:p>
        </w:tc>
      </w:tr>
      <w:tr>
        <w:trPr>
          <w:tblHeader w:val="0"/>
          <w:cantSplit w:val="0"/>
          <w:trHeight w:val="339" w:hRule="atLeast"/>
        </w:trPr>
        <w:tc>
          <w:tcPr>
            <w:tcW w:w="1529" w:type="dxa"/>
            <w:tmTcPr id="1787120411" protected="0"/>
          </w:tcPr>
          <w:p>
            <w:pPr>
              <w:ind w:right="33"/>
              <w:spacing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 «</w:t>
            </w:r>
          </w:p>
        </w:tc>
        <w:tc>
          <w:tcPr>
            <w:tcW w:w="628" w:type="dxa"/>
            <w:tcBorders>
              <w:bottom w:val="single" w:sz="4" w:space="0" w:color="000000" tmln="10, 20, 20, 0, 0"/>
            </w:tcBorders>
            <w:tmTcPr id="1787120411" protected="0"/>
          </w:tcPr>
          <w:p>
            <w:pPr>
              <w: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96" w:type="dxa"/>
            <w:tmTcPr id="1787120411" protected="0"/>
          </w:tcPr>
          <w:p>
            <w:pPr>
              <w:spacing/>
              <w:jc w:val="both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752" w:type="dxa"/>
            <w:tcBorders>
              <w:bottom w:val="single" w:sz="4" w:space="0" w:color="000000" tmln="10, 20, 20, 0, 0"/>
            </w:tcBorders>
            <w:tmTcPr id="1787120411" protected="0"/>
          </w:tcPr>
          <w:p>
            <w:pPr>
              <w: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августа</w:t>
            </w:r>
          </w:p>
        </w:tc>
        <w:tc>
          <w:tcPr>
            <w:tcW w:w="529" w:type="dxa"/>
            <w:tmTcPr id="1787120411" protected="0"/>
          </w:tcPr>
          <w:p>
            <w:pPr>
              <w:ind w:right="-76"/>
              <w:spacing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06" w:type="dxa"/>
            <w:tcBorders>
              <w:bottom w:val="single" w:sz="4" w:space="0" w:color="000000" tmln="10, 20, 20, 0, 0"/>
            </w:tcBorders>
            <w:tmTcPr id="1787120411" protected="0"/>
          </w:tcPr>
          <w:p>
            <w:pPr>
              <w:ind w:right="-152"/>
              <w:rPr>
                <w:sz w:val="28"/>
                <w:szCs w:val="28"/>
                <w:lang w:eastAsia="ru-ru"/>
              </w:rPr>
            </w:pPr>
            <w:r/>
            <w:bookmarkStart w:id="1" w:name="r09y"/>
            <w:r/>
            <w:r>
              <w:rPr>
                <w:sz w:val="28"/>
                <w:szCs w:val="28"/>
                <w:lang w:eastAsia="ru-ru"/>
              </w:rPr>
              <w:t xml:space="preserve"> </w:t>
            </w:r>
            <w:r/>
            <w:bookmarkStart w:id="2" w:name="_GoBack"/>
            <w:r/>
            <w:bookmarkEnd w:id="1"/>
            <w:r/>
            <w:bookmarkEnd w:id="2"/>
            <w:r/>
            <w:r>
              <w:rPr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585" w:type="dxa"/>
            <w:tmTcPr id="1787120411" protected="0"/>
          </w:tcPr>
          <w:p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586" w:type="dxa"/>
            <w:tmTcPr id="1787120411" protected="0"/>
          </w:tcPr>
          <w:p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61" w:type="dxa"/>
            <w:tcBorders>
              <w:bottom w:val="single" w:sz="4" w:space="0" w:color="000000" tmln="10, 20, 20, 0, 0"/>
            </w:tcBorders>
            <w:tmTcPr id="1787120411" protected="0"/>
          </w:tcPr>
          <w:p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597</w:t>
            </w:r>
          </w:p>
        </w:tc>
        <w:tc>
          <w:tcPr>
            <w:tcW w:w="1710" w:type="dxa"/>
            <w:tmTcPr id="1787120411" protected="0"/>
          </w:tcPr>
          <w:p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  <w:tr>
        <w:trPr>
          <w:tblHeader w:val="0"/>
          <w:cantSplit w:val="0"/>
          <w:trHeight w:val="371" w:hRule="atLeast"/>
        </w:trPr>
        <w:tc>
          <w:tcPr>
            <w:tcW w:w="10182" w:type="dxa"/>
            <w:gridSpan w:val="10"/>
            <w:tmTcPr id="1787120411" protected="0"/>
          </w:tcPr>
          <w:p>
            <w:pPr>
              <w:spacing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</w:r>
          </w:p>
        </w:tc>
      </w:tr>
    </w:tbl>
    <w:p>
      <w:pPr>
        <w:spacing/>
        <w:jc w:val="center"/>
        <w:rPr>
          <w:b/>
          <w:sz w:val="28"/>
          <w:szCs w:val="28"/>
          <w:u w:color="auto" w:val="single"/>
        </w:rPr>
      </w:pPr>
      <w:r>
        <w:rPr>
          <w:b/>
          <w:sz w:val="28"/>
          <w:szCs w:val="28"/>
          <w:u w:color="auto" w:val="single"/>
        </w:rPr>
      </w:r>
    </w:p>
    <w:p>
      <w:pPr>
        <w:spacing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О внесении изменений в</w:t>
      </w:r>
      <w:r>
        <w:rPr>
          <w:b/>
          <w:sz w:val="28"/>
          <w:szCs w:val="28"/>
        </w:rPr>
        <w:t xml:space="preserve"> постановление администрации Анжеро-Судженского городского округа от 30.06.2026 № 478</w:t>
      </w:r>
      <w:r>
        <w:rPr>
          <w:b/>
          <w:color w:val="000000"/>
          <w:sz w:val="28"/>
          <w:szCs w:val="28"/>
        </w:rPr>
        <w:t xml:space="preserve"> «Об организации работ </w:t>
      </w:r>
      <w:r>
        <w:rPr>
          <w:b/>
          <w:sz w:val="28"/>
          <w:szCs w:val="28"/>
          <w:lang w:eastAsia="ru-ru"/>
        </w:rPr>
        <w:t xml:space="preserve">по оценке обеспечения готовности к отопительному периоду 2026-2027 годов теплоснабжающих и теплосетевых организаций, потребителей тепловой энергии на территории </w:t>
      </w:r>
      <w:r>
        <w:rPr>
          <w:b/>
          <w:color w:val="000000"/>
          <w:sz w:val="28"/>
          <w:szCs w:val="28"/>
        </w:rPr>
        <w:t>Анжеро-Судженского городского округа»</w:t>
      </w:r>
      <w:r>
        <w:rPr>
          <w:b/>
          <w:sz w:val="28"/>
          <w:szCs w:val="28"/>
        </w:rPr>
      </w:r>
    </w:p>
    <w:p>
      <w:pPr>
        <w: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both"/>
        <w:hyphenationLines w:val="1"/>
        <w:pBdr>
          <w:top w:val="nil" w:sz="0" w:space="3" w:color="000000" tmln="20, 20, 20, 0, 60"/>
          <w:left w:val="nil" w:sz="0" w:space="3" w:color="000000" tmln="20, 20, 20, 0, 60"/>
          <w:bottom w:val="nil" w:sz="0" w:space="3" w:color="000000" tmln="20, 20, 20, 0, 60"/>
          <w:right w:val="nil" w:sz="0" w:space="3" w:color="000000" tmln="20, 20, 20, 0, 60"/>
          <w:between w:val="nil" w:sz="0" w:space="0" w:color="000000" tmln="20, 20, 20, 0, 0"/>
        </w:pBdr>
        <w:shd w:val="solid" w:color="FFFFFF" tmshd="1677721856, 0, 16777215"/>
        <w:rPr>
          <w:sz w:val="28"/>
          <w:szCs w:val="28"/>
          <w:lang w:eastAsia="ru-ru"/>
        </w:rPr>
      </w:pPr>
      <w:r>
        <w:rPr>
          <w:sz w:val="28"/>
          <w:szCs w:val="28"/>
        </w:rPr>
        <w:tab/>
      </w:r>
      <w:r>
        <w:rPr>
          <w:sz w:val="28"/>
          <w:szCs w:val="28"/>
          <w:lang w:eastAsia="ru-ru"/>
        </w:rPr>
        <w:t>1.</w:t>
      </w:r>
      <w:r>
        <w:rPr>
          <w:sz w:val="28"/>
          <w:szCs w:val="28"/>
          <w:lang w:eastAsia="ru-ru"/>
        </w:rPr>
        <w:t xml:space="preserve">Внести в </w:t>
      </w:r>
      <w:r>
        <w:rPr>
          <w:sz w:val="28"/>
          <w:szCs w:val="28"/>
          <w:lang w:eastAsia="ru-ru"/>
        </w:rPr>
        <w:t>постановление</w:t>
      </w:r>
      <w:r>
        <w:rPr>
          <w:sz w:val="28"/>
          <w:szCs w:val="28"/>
          <w:lang w:eastAsia="ru-ru"/>
        </w:rPr>
        <w:t xml:space="preserve"> администрации Анжеро-Су</w:t>
      </w:r>
      <w:r>
        <w:rPr>
          <w:sz w:val="28"/>
          <w:szCs w:val="28"/>
          <w:lang w:eastAsia="ru-ru"/>
        </w:rPr>
        <w:t>дженского городского округа от 30</w:t>
      </w:r>
      <w:r>
        <w:rPr>
          <w:sz w:val="28"/>
          <w:szCs w:val="28"/>
          <w:lang w:eastAsia="ru-ru"/>
        </w:rPr>
        <w:t>.0</w:t>
      </w:r>
      <w:r>
        <w:rPr>
          <w:sz w:val="28"/>
          <w:szCs w:val="28"/>
          <w:lang w:eastAsia="ru-ru"/>
        </w:rPr>
        <w:t>6.2026</w:t>
      </w:r>
      <w:r>
        <w:rPr>
          <w:sz w:val="28"/>
          <w:szCs w:val="28"/>
          <w:lang w:eastAsia="ru-ru"/>
        </w:rPr>
        <w:t xml:space="preserve"> №</w:t>
      </w:r>
      <w:r>
        <w:rPr>
          <w:sz w:val="28"/>
          <w:szCs w:val="28"/>
          <w:lang w:eastAsia="ru-ru"/>
        </w:rPr>
        <w:t>478</w:t>
      </w:r>
      <w:r>
        <w:rPr>
          <w:sz w:val="28"/>
          <w:szCs w:val="28"/>
          <w:lang w:eastAsia="ru-ru"/>
        </w:rPr>
        <w:t xml:space="preserve"> «</w:t>
      </w:r>
      <w:r>
        <w:rPr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б организации работ </w:t>
      </w:r>
      <w:r>
        <w:rPr>
          <w:color w:val="34343c"/>
          <w:sz w:val="28"/>
          <w:szCs w:val="28"/>
          <w:lang w:eastAsia="ru-ru"/>
        </w:rPr>
        <w:t>по оценке обеспечения</w:t>
      </w:r>
      <w:r>
        <w:rPr>
          <w:color w:val="34343c"/>
          <w:sz w:val="28"/>
          <w:szCs w:val="28"/>
          <w:lang w:eastAsia="ru-ru"/>
        </w:rPr>
        <w:t xml:space="preserve"> </w:t>
      </w:r>
      <w:r>
        <w:rPr>
          <w:color w:val="34343c"/>
          <w:sz w:val="28"/>
          <w:szCs w:val="28"/>
          <w:lang w:eastAsia="ru-ru"/>
        </w:rPr>
        <w:t>готовности к отопительному периоду 202</w:t>
      </w:r>
      <w:r>
        <w:rPr>
          <w:color w:val="34343c"/>
          <w:sz w:val="28"/>
          <w:szCs w:val="28"/>
          <w:lang w:eastAsia="ru-ru"/>
        </w:rPr>
        <w:t>6</w:t>
      </w:r>
      <w:r>
        <w:rPr>
          <w:color w:val="34343c"/>
          <w:sz w:val="28"/>
          <w:szCs w:val="28"/>
          <w:lang w:eastAsia="ru-ru"/>
        </w:rPr>
        <w:t>-202</w:t>
      </w:r>
      <w:r>
        <w:rPr>
          <w:color w:val="34343c"/>
          <w:sz w:val="28"/>
          <w:szCs w:val="28"/>
          <w:lang w:eastAsia="ru-ru"/>
        </w:rPr>
        <w:t>7</w:t>
      </w:r>
      <w:r>
        <w:rPr>
          <w:color w:val="34343c"/>
          <w:sz w:val="28"/>
          <w:szCs w:val="28"/>
          <w:lang w:eastAsia="ru-ru"/>
        </w:rPr>
        <w:t xml:space="preserve"> годов теплоснабжающих и </w:t>
      </w:r>
      <w:r>
        <w:rPr>
          <w:color w:val="34343c"/>
          <w:sz w:val="28"/>
          <w:szCs w:val="28"/>
          <w:lang w:eastAsia="ru-ru"/>
        </w:rPr>
        <w:t>теплосетевых</w:t>
      </w:r>
      <w:r>
        <w:rPr>
          <w:color w:val="34343c"/>
          <w:sz w:val="28"/>
          <w:szCs w:val="28"/>
          <w:lang w:eastAsia="ru-ru"/>
        </w:rPr>
        <w:t xml:space="preserve"> организаций, потребителей тепловой энергии на территории </w:t>
      </w:r>
      <w:r>
        <w:rPr>
          <w:color w:val="000000"/>
          <w:sz w:val="28"/>
          <w:szCs w:val="28"/>
        </w:rPr>
        <w:t>Анжеро-Судженского городского округа</w:t>
      </w:r>
      <w:r>
        <w:rPr>
          <w:sz w:val="28"/>
          <w:szCs w:val="28"/>
          <w:lang w:eastAsia="ru-ru"/>
        </w:rPr>
        <w:t>» следующие изменения:</w:t>
      </w:r>
      <w:r>
        <w:rPr>
          <w:sz w:val="28"/>
          <w:szCs w:val="28"/>
          <w:lang w:eastAsia="ru-ru"/>
        </w:rPr>
      </w:r>
    </w:p>
    <w:p>
      <w:pPr>
        <w:spacing/>
        <w:jc w:val="both"/>
        <w:tabs defTabSz="708">
          <w:tab w:val="right" w:pos="9921" w:leader="none"/>
        </w:tabs>
        <w:rPr>
          <w:bCs/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1.1. Программу проведения </w:t>
      </w:r>
      <w:r>
        <w:rPr>
          <w:bCs/>
          <w:sz w:val="28"/>
          <w:szCs w:val="28"/>
        </w:rPr>
        <w:t>оценки обеспечения готовности к отопительному периоду 2026-2027 гг. на территории Анжеро-Судженского городского округа</w:t>
      </w:r>
      <w:r>
        <w:rPr>
          <w:sz w:val="28"/>
          <w:szCs w:val="28"/>
          <w:lang w:eastAsia="ru-ru"/>
        </w:rPr>
        <w:t xml:space="preserve"> изложить в новой редакции согласно приложению, к настоящему постановлению.</w:t>
      </w:r>
      <w:r>
        <w:rPr>
          <w:bCs/>
          <w:sz w:val="28"/>
          <w:szCs w:val="28"/>
        </w:rPr>
      </w:r>
    </w:p>
    <w:p>
      <w:pPr>
        <w:spacing/>
        <w:jc w:val="both"/>
        <w:hyphenationLines w:val="1"/>
        <w:tabs defTabSz="708">
          <w:tab w:val="right" w:pos="9921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ab/>
        <w:t xml:space="preserve">           1.2. График проведения</w:t>
      </w:r>
      <w:r>
        <w:rPr>
          <w:b/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оценки обеспечения готовности к отопительному периоду 2026/2027 гг. изложить в новой редакции согласно приложению 1, к программе проведения оценки обеспечения готовности к отопительному периоду 2026-2027гг. на территории Анжеро-Судженского городского округа.</w:t>
      </w:r>
    </w:p>
    <w:p>
      <w:pPr>
        <w:ind w:firstLine="709"/>
        <w:spacing/>
        <w:jc w:val="both"/>
        <w:hyphenationLines w:val="1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2. Разместить настоящее постановление на официальном сайте Анжеро-Судженского городского округа в информационно-телекоммуникационной сети «Интернет».</w:t>
      </w:r>
    </w:p>
    <w:p>
      <w:pPr>
        <w:spacing/>
        <w:jc w:val="both"/>
        <w:rPr>
          <w:sz w:val="28"/>
          <w:szCs w:val="28"/>
        </w:rPr>
      </w:pPr>
      <w:r>
        <w:rPr>
          <w:sz w:val="28"/>
          <w:szCs w:val="28"/>
          <w:lang w:eastAsia="ru-ru"/>
        </w:rPr>
        <w:tab/>
        <w:t xml:space="preserve">3. </w:t>
      </w:r>
      <w:r>
        <w:rPr>
          <w:sz w:val="28"/>
          <w:szCs w:val="28"/>
        </w:rPr>
        <w:t>Контроль за исполнением постановления возложить на заместителя главы городского округа (по вопросам жилищно-коммунального хозяйства) Хамидулина Э.Р.</w:t>
      </w:r>
    </w:p>
    <w:p>
      <w:pPr>
        <w:spacing/>
        <w:jc w:val="right"/>
        <w:tabs defTabSz="708">
          <w:tab w:val="left" w:pos="567" w:leader="none"/>
          <w:tab w:val="left" w:pos="7655" w:leader="none"/>
        </w:tabs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2" behindDoc="1" locked="0" layoutInCell="0" hidden="0" allowOverlap="1">
            <wp:simplePos x="0" y="0"/>
            <wp:positionH relativeFrom="page">
              <wp:posOffset>3343275</wp:posOffset>
            </wp:positionH>
            <wp:positionV relativeFrom="page">
              <wp:posOffset>8939530</wp:posOffset>
            </wp:positionV>
            <wp:extent cx="1390650" cy="1390650"/>
            <wp:effectExtent l="0" t="0" r="0" b="0"/>
            <wp:wrapNone/>
            <wp:docPr id="2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1"/>
                    <pic:cNvPicPr>
                      <a:picLocks noChangeAspect="1"/>
                      <a:extLst>
                        <a:ext uri="sm">
                          <sm:smNativeData xmlns:sm="sm" val="SMDATA_16_G0uFah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AAAAAAAAAAA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HgAAAGgAAAAAAAAAAAAAAAAAAAAAAAAAAAAAABAnAAAQJwAAAAAAAAAAAAAAAAAAAAAAAAAAAAAAAAAAAAAAAAAAAAAUAAAAAAAAAMDA/wAAAAAAZAAAADIAAAAAAAAAZAAAAAAAAAB/f38ACgAAACIAAAAYAAAAAAAAAAAAAAAAAAAAAAAAAAAAAAAAAAAAJAAAACQAAAAAAAAABwAAAAAAAAAAAAAAAAAAAAAAAAAAAAAAAAAAAH9/fwAlAAAAWAAAAAAAAAAAAAAAAAAAAAAAAAAAAAAAAAAAAAAAAAAAAAAAAAAAAAAAAAAAAAAAPwAAAAAAAACghgEAAAAAAAAAAAAAAAAADAAAAAEAAAAAAAAAAAAAAAAAAAAhAAAAQAAAADwAAAAJAAAAAAAAAAAAAAAAAAAAAQAAAAAAAACRFAAAAQAAAAAAAAD+NgAAjggAAI4IAAAAAAAAkRQAAP42AAAoAAAACAAAAAEAAAABAAAA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13906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</w:r>
    </w:p>
    <w:p>
      <w:pPr>
        <w:spacing/>
        <w:jc w:val="right"/>
        <w:tabs defTabSz="708">
          <w:tab w:val="left" w:pos="567" w:leader="none"/>
          <w:tab w:val="left" w:pos="765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right"/>
        <w:tabs defTabSz="708">
          <w:tab w:val="left" w:pos="567" w:leader="none"/>
          <w:tab w:val="left" w:pos="7655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both"/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Д.В. Ажичаков</w:t>
      </w:r>
    </w:p>
    <w:p>
      <w:pPr>
        <w:spacing/>
        <w:jc w:val="right"/>
        <w:tabs defTabSz="708">
          <w:tab w:val="left" w:pos="567" w:leader="none"/>
          <w:tab w:val="left" w:pos="7655" w:leader="none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>
      <w:pPr>
        <w:spacing/>
        <w:jc w:val="right"/>
        <w:tabs defTabSz="708">
          <w:tab w:val="left" w:pos="567" w:leader="none"/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Приложение </w:t>
      </w:r>
    </w:p>
    <w:p>
      <w:pPr>
        <w:spacing/>
        <w:jc w:val="right"/>
        <w:tabs defTabSz="708">
          <w:tab w:val="left" w:pos="567" w:leader="none"/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>
      <w:pPr>
        <w:spacing/>
        <w:jc w:val="right"/>
        <w:tabs defTabSz="708">
          <w:tab w:val="left" w:pos="567" w:leader="none"/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  <w:t>Анжеро-Судженского городского округа</w:t>
      </w:r>
    </w:p>
    <w:p>
      <w:pPr>
        <w:spacing/>
        <w:jc w:val="right"/>
        <w:tabs defTabSz="708">
          <w:tab w:val="left" w:pos="567" w:leader="none"/>
          <w:tab w:val="left" w:pos="7655" w:leader="none"/>
        </w:tabs>
        <w:rPr>
          <w:sz w:val="24"/>
          <w:szCs w:val="24"/>
        </w:rPr>
      </w:pPr>
      <w:r>
        <w:rPr>
          <w:sz w:val="24"/>
          <w:szCs w:val="24"/>
        </w:rPr>
        <w:t xml:space="preserve">От 14 августа 2026г. №  597 </w:t>
      </w:r>
    </w:p>
    <w:p>
      <w:pPr>
        <w:spacing/>
        <w:jc w:val="right"/>
        <w:tabs defTabSz="708">
          <w:tab w:val="left" w:pos="567" w:leader="none"/>
          <w:tab w:val="left" w:pos="7655" w:leader="none"/>
        </w:tabs>
      </w:pPr>
      <w:r/>
    </w:p>
    <w:p>
      <w:pPr>
        <w:ind w:left="6237"/>
        <w:spacing/>
        <w:jc w:val="right"/>
        <w:tabs defTabSz="708"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/>
        <w:jc w:val="center"/>
        <w:tabs defTabSz="708">
          <w:tab w:val="right" w:pos="9921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проведения оценки обеспечения готовности к отопительному периоду 2026-2027 гг. на территории Анжеро-Судженского городского округа</w:t>
      </w:r>
    </w:p>
    <w:p>
      <w:pPr>
        <w:spacing/>
        <w:jc w:val="both"/>
        <w:tabs defTabSz="708"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para110"/>
        <w:numPr>
          <w:ilvl w:val="0"/>
          <w:numId w:val="5"/>
        </w:numPr>
        <w:ind w:left="360" w:hanging="218"/>
        <w:spacing w:before="240" w:after="120" w:line="240" w:lineRule="auto"/>
        <w:jc w:val="center"/>
        <w:tabs defTabSz="708">
          <w:tab w:val="right" w:pos="9921" w:leader="none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>
      <w:pPr>
        <w:pStyle w:val="para110"/>
        <w:ind w:left="0" w:firstLine="709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 программа проведения оценки обеспечения готовности теплоснабжающих организаций и потребителей тепловой энергии к отопительному периоду 2026/2027 гг. расположенных на территории Анжеро-Судженского городского округа (далее-Программа) разработана в соответствии с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(далее – Правила № 2234, Порядок № 2234), содержит информацию об объектах, подлежащих оценке обеспечения готовности к отопительному периоду, определяет работу комиссии по оценке обеспечения готовности объектов к отопительному периоду (далее - Комиссии), графики проведения оценки обеспечения готовности объектов к отопительному периоду.</w:t>
      </w:r>
    </w:p>
    <w:p>
      <w:pPr>
        <w:pStyle w:val="para110"/>
        <w:ind w:left="0" w:firstLine="709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para110"/>
        <w:ind w:left="0" w:firstLine="709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b/>
          <w:bCs/>
          <w:sz w:val="28"/>
          <w:szCs w:val="28"/>
        </w:rPr>
        <w:t>Объекты, подлежащие оценке обеспечения готовности к отопительному периоду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/>
        <w:jc w:val="both"/>
        <w:tabs defTabSz="708">
          <w:tab w:val="right" w:pos="567" w:leader="none"/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ab/>
        <w:t>2. Указанная комиссия в соответствии со статьей 20 Федерального закона от 27.07.2010 № 190</w:t>
        <w:noBreakHyphen/>
        <w:t>ФЗ «О теплоснабжении» осуществляет оценку обеспечения готовности к отопительному периоду на территории Анжеро-Судженского городского округа следующими лицами:</w:t>
      </w:r>
    </w:p>
    <w:p>
      <w:pPr>
        <w:spacing/>
        <w:jc w:val="both"/>
        <w:tabs defTabSz="708">
          <w:tab w:val="right" w:pos="426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2.1. теплоснабжающими организациями;</w:t>
      </w:r>
    </w:p>
    <w:p>
      <w:pPr>
        <w:spacing/>
        <w:jc w:val="both"/>
        <w:tabs defTabSz="708">
          <w:tab w:val="right" w:pos="426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2.2. теплосетевыми организациями;</w:t>
      </w:r>
    </w:p>
    <w:p>
      <w:pPr>
        <w:spacing/>
        <w:jc w:val="both"/>
        <w:tabs defTabSz="708">
          <w:tab w:val="right" w:pos="426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2.3. владельцами тепловых сетей, не являющимися теплосетевыми организациями;</w:t>
      </w:r>
    </w:p>
    <w:p>
      <w:pPr>
        <w:spacing/>
        <w:jc w:val="both"/>
        <w:tabs defTabSz="708">
          <w:tab w:val="right" w:pos="426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2.4. потребителями тепловой энергии, теплопотребляющие установки которых подключены (технологически присоединены) к системе теплоснабжения и которые приобретают тепловую энергию (мощность), теплоноситель для использования на принадлежащих им на праве собственности или ином законном основании теплопотребляющих установках;</w:t>
      </w:r>
    </w:p>
    <w:p>
      <w:pPr>
        <w:spacing/>
        <w:jc w:val="both"/>
        <w:tabs defTabSz="708">
          <w:tab w:val="left" w:pos="567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>2.5. управляющей организацией, а также товариществом собственников жилья, жилищным кооперативом, жилищно-строительным кооперативом или иным специализированным потребительским кооперативом при условии осуществления ими деятельности по управлению многоквартирными домами;</w:t>
      </w:r>
    </w:p>
    <w:p>
      <w:pPr>
        <w:spacing/>
        <w:jc w:val="both"/>
        <w:tabs defTabSz="708">
          <w:tab w:val="left" w:pos="567" w:leader="none"/>
          <w:tab w:val="left" w:pos="1276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>2.6. лицами,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(или) выполнению работ по ремонту общего имущества в целях надлежащего содержания и (или) ремонта внутридомовой системы отопления в многоквартирном доме, или председателем совета многоквартирного дома в случае, если собственниками помещений в многоквартирном доме не принято решение о заключении таких договоров, или муниципальными образованиями в случае, если способ управления многоквартирным домом не выбран или выбранный способ управления не реализован.</w:t>
      </w:r>
    </w:p>
    <w:p>
      <w:pPr>
        <w:pStyle w:val="para110"/>
        <w:ind w:left="360"/>
        <w:spacing w:after="0" w:line="240" w:lineRule="auto"/>
        <w:jc w:val="both"/>
        <w:tabs defTabSz="708">
          <w:tab w:val="righ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pStyle w:val="para110"/>
        <w:ind w:left="0"/>
        <w:spacing w:after="0" w:line="240" w:lineRule="auto"/>
        <w:jc w:val="center"/>
        <w:tabs defTabSz="708">
          <w:tab w:val="right" w:pos="993" w:leader="none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Проведение оценки готовности</w:t>
      </w:r>
    </w:p>
    <w:p>
      <w:pPr>
        <w:pStyle w:val="para110"/>
        <w:ind w:left="0" w:firstLine="567"/>
        <w:spacing w:after="0" w:line="240" w:lineRule="auto"/>
        <w:jc w:val="both"/>
        <w:tabs defTabSz="708">
          <w:tab w:val="righ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spacing/>
        <w:jc w:val="both"/>
        <w:tabs defTabSz="708">
          <w:tab w:val="right" w:pos="993" w:leader="none"/>
        </w:tabs>
        <w:rPr>
          <w:sz w:val="28"/>
          <w:szCs w:val="28"/>
        </w:rPr>
      </w:pPr>
      <w:r>
        <w:rPr>
          <w:sz w:val="28"/>
          <w:szCs w:val="28"/>
        </w:rPr>
        <w:t>3.1. Работа Комиссии осуществляется в отношении объектов и организаций, согласно графику проведения проверок (приложение 1 к Программе). В рамках проведения оценки обеспечения готовности комиссия осуществляет оценку готовности на предмет выполнения требований, установленных Правилами обеспечения готовности к отопительному периоду путем проверки членами комиссии соблюдения требований пунктов 9-11 Правил обеспечения готовности к отопительному периоду, утвержденных приказом Минэнерго России от 13.11.2024 № 2234.</w:t>
      </w:r>
    </w:p>
    <w:p>
      <w:pPr>
        <w:ind w:firstLine="567"/>
        <w:spacing/>
        <w:jc w:val="both"/>
        <w:tabs defTabSz="708">
          <w:tab w:val="right" w:pos="993" w:leader="none"/>
        </w:tabs>
        <w:rPr>
          <w:sz w:val="28"/>
          <w:szCs w:val="28"/>
        </w:rPr>
      </w:pPr>
      <w:r>
        <w:rPr>
          <w:sz w:val="28"/>
          <w:szCs w:val="28"/>
        </w:rPr>
        <w:t>3.2. В целях проведения оценки обеспечения готовности комиссия рассматривает документы, подтверждающие выполнение требований по обеспечению готовности. По решению комиссии проводится осмотр объектов оценки обеспечения готовности.</w:t>
      </w:r>
    </w:p>
    <w:p>
      <w:pPr>
        <w:ind w:firstLine="567"/>
        <w:spacing/>
        <w:jc w:val="both"/>
        <w:tabs defTabSz="708">
          <w:tab w:val="right" w:pos="993" w:leader="none"/>
        </w:tabs>
        <w:rPr>
          <w:sz w:val="28"/>
          <w:szCs w:val="28"/>
        </w:rPr>
      </w:pPr>
      <w:r>
        <w:rPr>
          <w:sz w:val="28"/>
          <w:szCs w:val="28"/>
        </w:rPr>
        <w:t>3.3. В отношении каждого объекта оценки обеспечения готовности устанавливает их уровень готовности к отопительному периоду (далее — уровень готовности) на основании значения индекса готовности.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формулами, установленными в оценочных листах. Уровень готовности лиц, указанных в пункте 2 настоящего Порядка, определяется как среднеарифметическое значение индексов готовности объектов оценки обеспечения готовности.</w:t>
      </w:r>
    </w:p>
    <w:p>
      <w:pPr>
        <w:pStyle w:val="para4"/>
        <w:ind w:firstLine="567"/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 По результатам расчета индекса готовности устанавливается:</w:t>
      </w:r>
    </w:p>
    <w:p>
      <w:pPr>
        <w:pStyle w:val="para4"/>
        <w:ind w:firstLine="567"/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уровень готовности «Не готов» — если индекс готовности меньше 0,8;</w:t>
      </w:r>
    </w:p>
    <w:p>
      <w:pPr>
        <w:pStyle w:val="para4"/>
        <w:ind w:firstLine="567"/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уровень готовности «Готов с условиями» — если индекс готовности меньше 0,9 и больше либо равен 0,8;</w:t>
      </w:r>
    </w:p>
    <w:p>
      <w:pPr>
        <w:pStyle w:val="para4"/>
        <w:ind w:firstLine="567"/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уровень готовности «Готов» — если индекс готовности больше либо равен 0,9. </w:t>
      </w:r>
    </w:p>
    <w:p>
      <w:pPr>
        <w:pStyle w:val="para4"/>
        <w:ind w:firstLine="567"/>
        <w:spacing w:after="0" w:line="240" w:lineRule="auto"/>
        <w:tabs defTabSz="708">
          <w:tab w:val="left" w:pos="3686" w:leader="none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3.4.1. Для лиц, указанных в п. 2.1-2.3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>
      <w:pPr>
        <w:pStyle w:val="para4"/>
        <w:ind w:firstLine="567"/>
        <w:spacing w:after="0" w:line="240" w:lineRule="auto"/>
        <w:tabs defTabSz="708">
          <w:tab w:val="left" w:pos="368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-показатель наличия акта о проведении очистки и промывки тепловых сетей, тепловых пунктов в соответствии с требованиями </w:t>
      </w:r>
      <w:hyperlink r:id="rId10" w:history="1">
        <w:r>
          <w:rPr>
            <w:sz w:val="28"/>
            <w:szCs w:val="28"/>
          </w:rPr>
          <w:t>пунктов 335</w:t>
        </w:r>
      </w:hyperlink>
      <w:r>
        <w:rPr>
          <w:sz w:val="28"/>
          <w:szCs w:val="28"/>
        </w:rPr>
        <w:t xml:space="preserve"> - </w:t>
      </w:r>
      <w:hyperlink r:id="rId11" w:history="1">
        <w:r>
          <w:rPr>
            <w:sz w:val="28"/>
            <w:szCs w:val="28"/>
          </w:rPr>
          <w:t>337</w:t>
        </w:r>
      </w:hyperlink>
      <w:r>
        <w:rPr>
          <w:sz w:val="28"/>
          <w:szCs w:val="28"/>
        </w:rPr>
        <w:t xml:space="preserve">, </w:t>
      </w:r>
      <w:hyperlink r:id="rId12" w:history="1">
        <w:r>
          <w:rPr>
            <w:sz w:val="28"/>
            <w:szCs w:val="28"/>
          </w:rPr>
          <w:t>абзацев шестого</w:t>
        </w:r>
      </w:hyperlink>
      <w:r>
        <w:rPr>
          <w:sz w:val="28"/>
          <w:szCs w:val="28"/>
        </w:rPr>
        <w:t xml:space="preserve"> - </w:t>
      </w:r>
      <w:hyperlink r:id="rId13" w:history="1">
        <w:r>
          <w:rPr>
            <w:sz w:val="28"/>
            <w:szCs w:val="28"/>
          </w:rPr>
          <w:t>восьмого пункта 404</w:t>
        </w:r>
      </w:hyperlink>
      <w:r>
        <w:rPr>
          <w:sz w:val="28"/>
          <w:szCs w:val="28"/>
        </w:rPr>
        <w:t xml:space="preserve"> и </w:t>
      </w:r>
      <w:hyperlink r:id="rId14" w:history="1">
        <w:r>
          <w:rPr>
            <w:sz w:val="28"/>
            <w:szCs w:val="28"/>
          </w:rPr>
          <w:t>пункта 412</w:t>
        </w:r>
      </w:hyperlink>
      <w:r>
        <w:rPr>
          <w:sz w:val="28"/>
          <w:szCs w:val="28"/>
        </w:rPr>
        <w:t xml:space="preserve"> Правил технической эксплуатации объектов теплоснабжения и теплопотребляющих установок, утвержденных приказом Минэнерго России от 14 мая 2025 г. N 511 (далее - Правила N 511) (</w:t>
      </w:r>
      <w:hyperlink w:anchor="P146" w:history="1">
        <w:r>
          <w:rPr>
            <w:sz w:val="28"/>
            <w:szCs w:val="28"/>
          </w:rPr>
          <w:t>подпункт 9.3.21 пункта 9</w:t>
        </w:r>
      </w:hyperlink>
      <w:r>
        <w:rPr>
          <w:sz w:val="28"/>
          <w:szCs w:val="28"/>
        </w:rPr>
        <w:t xml:space="preserve"> Правил обеспечения готовности к отопительному периоду);</w:t>
      </w:r>
    </w:p>
    <w:p>
      <w:pPr>
        <w:pStyle w:val="para111"/>
        <w:ind w:firstLine="540"/>
        <w: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-показатель наличия актов проведения гидравлических испытаний на прочность и плотность трубопроводов тепловых сетей в соответствии с </w:t>
      </w:r>
      <w:hyperlink r:id="rId15" w:history="1">
        <w:r>
          <w:rPr>
            <w:rFonts w:ascii="Times New Roman" w:hAnsi="Times New Roman" w:cs="Times New Roman"/>
            <w:sz w:val="28"/>
            <w:szCs w:val="28"/>
          </w:rPr>
          <w:t>пунктом 26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N 511 (</w:t>
      </w:r>
      <w:hyperlink w:anchor="P142" w:history="1">
        <w:r>
          <w:rPr>
            <w:rFonts w:ascii="Times New Roman" w:hAnsi="Times New Roman" w:cs="Times New Roman"/>
            <w:sz w:val="28"/>
            <w:szCs w:val="28"/>
          </w:rPr>
          <w:t>подпункт 9.3.19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обеспечения готовности к отопительному периоду);</w:t>
      </w:r>
    </w:p>
    <w:p>
      <w:pPr>
        <w:pStyle w:val="para111"/>
        <w:ind w:firstLine="540"/>
        <w: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-показатель наличия разработанного в соответствии с </w:t>
      </w:r>
      <w:hyperlink r:id="rId16" w:history="1">
        <w:r>
          <w:rPr>
            <w:rFonts w:ascii="Times New Roman" w:hAnsi="Times New Roman" w:cs="Times New Roman"/>
            <w:sz w:val="28"/>
            <w:szCs w:val="28"/>
          </w:rPr>
          <w:t>подпунктом 5 пункта 6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N 511 нормативно-технического документа по организации ремонтного производства, разработке ремонтной документации, планированию и подготовке к ремонту, выводу в ремонт и производству ремонта, а также приемке и оценке качества ремонта (</w:t>
      </w:r>
      <w:hyperlink w:anchor="P130" w:history="1">
        <w:r>
          <w:rPr>
            <w:rFonts w:ascii="Times New Roman" w:hAnsi="Times New Roman" w:cs="Times New Roman"/>
            <w:sz w:val="28"/>
            <w:szCs w:val="28"/>
          </w:rPr>
          <w:t>пункт 9.3.14 пункта 9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Правил обеспечения готовности к отопительному периоду).</w:t>
      </w:r>
    </w:p>
    <w:p>
      <w:pPr>
        <w:pStyle w:val="para4"/>
        <w:ind w:firstLine="567"/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3.4.2. Для лиц, указанных в п. 2.4-2.6 настоящего Порядка, в случае если балльная оценка хотя бы одного из нижеперечисленных показателей готовности, равна 0, то значение индекса готовности принимается не более 0,8.</w:t>
      </w:r>
    </w:p>
    <w:p>
      <w:pPr>
        <w:pStyle w:val="para4"/>
        <w:ind w:firstLine="567"/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показатель наличия акта промывки теплопотребляющей установки (подпункт 11.5.1. пункта 11 Правил обеспечения готовности к отопительному периоду);</w:t>
      </w:r>
    </w:p>
    <w:p>
      <w:pPr>
        <w:pStyle w:val="para4"/>
        <w:ind w:firstLine="567"/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показатель наличия акта о проведении наладки режимов потребления тепловой энергии и (или) теплоносителя (в том числе тепловых и гидравлических режимов) оборудования теплового пункта и внутридомовых сетей (подпункт 11.5.2. пункта 11 Правил обеспечения готовности к отопительному периоду);</w:t>
      </w:r>
    </w:p>
    <w:p>
      <w:pPr>
        <w:pStyle w:val="para4"/>
        <w:ind w:firstLine="567"/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показатель наличия акта о проведении гидравлических испытаний на прочность и плотность оборудования теплового пункта, тепловых сетей в границах балансовой принадлежности и эксплуатационной ответственности, включая трубопроводы теплового ввода и внутридомовых сетей оборудования теплового пункта и внутридомовых сетей (подпункт 11.5.5. пункта 11 Правил обеспечения готовности к отопительному периоду).</w:t>
      </w:r>
    </w:p>
    <w:p>
      <w:pPr>
        <w:pStyle w:val="para4"/>
        <w:ind w:firstLine="567"/>
        <w:spacing w:after="0" w:line="240" w:lineRule="auto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3.4.3. При расчете индекса готовности в случае, если требования к объекту теплоснабжения, установленные статьей 20 Федерального закона о теплоснабжении, не применяются в соответствии с законодательством Российской Федерации, значение показателя в оценочных листах принимается равным 1.</w:t>
      </w:r>
    </w:p>
    <w:p>
      <w:pPr>
        <w:ind w:firstLine="567"/>
        <w:spacing/>
        <w:jc w:val="both"/>
        <w:tabs defTabSz="708">
          <w:tab w:val="right" w:pos="993" w:leader="none"/>
        </w:tabs>
        <w:rPr>
          <w:sz w:val="28"/>
          <w:szCs w:val="28"/>
        </w:rPr>
      </w:pPr>
      <w:r>
        <w:rPr>
          <w:sz w:val="28"/>
          <w:szCs w:val="28"/>
        </w:rPr>
        <w:t>3.5. Действия при неустранении замечаний.</w:t>
      </w:r>
    </w:p>
    <w:p>
      <w:pPr>
        <w:ind w:firstLine="567"/>
        <w:spacing/>
        <w:jc w:val="both"/>
        <w:tabs defTabSz="708">
          <w:tab w:val="right" w:pos="993" w:leader="none"/>
        </w:tabs>
        <w:rPr>
          <w:sz w:val="28"/>
          <w:szCs w:val="28"/>
        </w:rPr>
      </w:pPr>
      <w:r>
        <w:rPr>
          <w:sz w:val="28"/>
          <w:szCs w:val="28"/>
        </w:rPr>
        <w:t>3.5.1. В случае неустранения замечаний лицами, указанными указанных в п. 2.1-2.3 настоящего Порядка, комиссия в течение 5 рабочих дней со дня подписания акта передает данные федеральному органу исполнительной власти, уполномоченному на осуществление федерального государственного энергетического надзора, федерального государственного надзора в области промышленной безопасности, федеральным органам исполнительной власти в сфере обороны, обеспечения безопасности, государственной охраны, внешней разведки, исполнения наказаний (их подразделениями).</w:t>
      </w:r>
    </w:p>
    <w:p>
      <w:pPr>
        <w:ind w:firstLine="567"/>
        <w:spacing/>
        <w:jc w:val="both"/>
        <w:tabs defTabSz="708">
          <w:tab w:val="right" w:pos="993" w:leader="none"/>
        </w:tabs>
        <w:rPr>
          <w:sz w:val="28"/>
          <w:szCs w:val="28"/>
        </w:rPr>
      </w:pPr>
      <w:r>
        <w:rPr>
          <w:sz w:val="28"/>
          <w:szCs w:val="28"/>
        </w:rPr>
        <w:t>3.5.2. В случае неустранения замечаний лицами, указанными указанных в п. 2.4-2.6 настоящего Порядка, комиссия в течение 5 рабочих дней со для подписания акта передает данные органам государственной власти субъекта Российской Федерации в области жилищных отношений, осуществляющим региональный государственный надзор.</w:t>
      </w:r>
    </w:p>
    <w:p>
      <w:pPr>
        <w:ind w:firstLine="567"/>
        <w:spacing/>
        <w:jc w:val="both"/>
        <w:tabs defTabSz="708">
          <w:tab w:val="right" w:pos="993" w:leader="none"/>
        </w:tabs>
        <w:rPr>
          <w:sz w:val="28"/>
          <w:szCs w:val="28"/>
        </w:rPr>
      </w:pPr>
      <w:r>
        <w:rPr>
          <w:sz w:val="28"/>
          <w:szCs w:val="28"/>
        </w:rPr>
        <w:t>3.6. Фиксация соблюдения требований.</w:t>
      </w:r>
    </w:p>
    <w:p>
      <w:pPr>
        <w:ind w:firstLine="567"/>
        <w:spacing/>
        <w:jc w:val="both"/>
        <w:tabs defTabSz="708">
          <w:tab w:val="right" w:pos="993" w:leader="none"/>
        </w:tabs>
        <w:rPr>
          <w:sz w:val="28"/>
          <w:szCs w:val="28"/>
        </w:rPr>
      </w:pPr>
      <w:r>
        <w:rPr>
          <w:sz w:val="28"/>
          <w:szCs w:val="28"/>
        </w:rPr>
        <w:t>Не позднее одного рабочего дня с даты завершения оценки обеспечения готовности комиссией составляется акт по форме приложения № 5 к Порядку проведения оценки обеспечения готовности к отопительному периоду, утвержденному приказом Минэнерго России от 13.11.2024 № 2234.</w:t>
      </w:r>
    </w:p>
    <w:p>
      <w:pPr>
        <w:ind w:firstLine="567"/>
        <w:spacing/>
        <w:jc w:val="both"/>
        <w:tabs defTabSz="708">
          <w:tab w:val="right" w:pos="993" w:leader="none"/>
        </w:tabs>
        <w:rPr>
          <w:sz w:val="28"/>
          <w:szCs w:val="28"/>
        </w:rPr>
      </w:pPr>
      <w:r>
        <w:rPr>
          <w:sz w:val="28"/>
          <w:szCs w:val="28"/>
        </w:rPr>
        <w:t>В течение 5 рабочих дней со дня подписания акта комиссией для каждого лица, указанного в графике проведения оценки готовности к отопительному периоду, выдается паспорт готовности к отопительному периоду по форме приложения № 6 к Порядку проведения оценки обеспечения готовности к отопительному периоду, утвержденному приказом Минэнерго России от 13.11.2024 № 2234.</w:t>
      </w:r>
    </w:p>
    <w:p>
      <w:pPr>
        <w:spacing w:before="240" w:after="120"/>
        <w:jc w:val="center"/>
        <w:tabs defTabSz="708">
          <w:tab w:val="right" w:pos="9921" w:leader="none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Права и обязанности членов комиссии</w:t>
      </w:r>
    </w:p>
    <w:p>
      <w:pPr>
        <w:pStyle w:val="para110"/>
        <w:numPr>
          <w:ilvl w:val="0"/>
          <w:numId w:val="5"/>
        </w:numPr>
        <w:ind w:left="360" w:hanging="360"/>
        <w:spacing w:after="0" w:line="240" w:lineRule="auto"/>
        <w:jc w:val="both"/>
        <w:tabs defTabSz="708">
          <w:tab w:val="right" w:pos="1134" w:leader="none"/>
        </w:tabs>
        <w:rPr>
          <w:rFonts w:ascii="Times New Roman" w:hAnsi="Times New Roman" w:cs="Times New Roman"/>
          <w:vanish w:val="1"/>
          <w:sz w:val="28"/>
          <w:szCs w:val="28"/>
        </w:rPr>
      </w:pPr>
      <w:r>
        <w:rPr>
          <w:rFonts w:ascii="Times New Roman" w:hAnsi="Times New Roman" w:cs="Times New Roman"/>
          <w:vanish w:val="1"/>
          <w:sz w:val="28"/>
          <w:szCs w:val="28"/>
        </w:rPr>
      </w:r>
    </w:p>
    <w:p>
      <w:pPr>
        <w:pStyle w:val="para110"/>
        <w:numPr>
          <w:ilvl w:val="0"/>
          <w:numId w:val="5"/>
        </w:numPr>
        <w:ind w:left="360" w:hanging="360"/>
        <w:spacing w:after="0" w:line="240" w:lineRule="auto"/>
        <w:jc w:val="both"/>
        <w:tabs defTabSz="708">
          <w:tab w:val="right" w:pos="1134" w:leader="none"/>
        </w:tabs>
        <w:rPr>
          <w:rFonts w:ascii="Times New Roman" w:hAnsi="Times New Roman" w:cs="Times New Roman"/>
          <w:vanish w:val="1"/>
          <w:sz w:val="28"/>
          <w:szCs w:val="28"/>
        </w:rPr>
      </w:pPr>
      <w:r>
        <w:rPr>
          <w:rFonts w:ascii="Times New Roman" w:hAnsi="Times New Roman" w:cs="Times New Roman"/>
          <w:vanish w:val="1"/>
          <w:sz w:val="28"/>
          <w:szCs w:val="28"/>
        </w:rPr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4.1. Число членов комиссии, включая ее председателя и заместителя председателя, должно быть нечетным.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4.2. Состав комиссии формируется таким образом, чтобы была исключена возможность, возникновения конфликта интересов, который мог бы повлиять на принимаемые комиссией решения.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4.3. Председатель и заместитель председателя являются членами комиссии.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4.4.В отсутствие председателя комиссии его обязанности исполняет заместитель председателя комиссии.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4.5. Все члены комиссии при принятии решений обладают равными правами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4.6. Председатель (заместитель председателя) комиссии обязан: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4.6.1. возглавлять комиссию и руководить ее деятельностью;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4.6.2. утверждать настоящую программу;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4.6.3. проводить плановые и внеплановые заседания комиссии;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4.6.4. координировать работу комиссии;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4.6.5. определять сроки выдачи паспортов обеспечения готовности к отопительному периоду.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4.7. Члены комиссии обязаны: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4.7.1лично участвовать в заседаниях комиссии;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4.7.2. выполнять поручения комиссии;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4.7.3. соблюдать установленные комиссией ограничения на разглашение информации.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4.7.4. при возникновении прямой или косвенной личной заинтересованности, которая может привести к конфликту интересов при рассмотрении вопросов, сообщить об этом до начала заседания комиссии.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4.8. Члены комиссии имеют право:</w:t>
      </w:r>
    </w:p>
    <w:p>
      <w:pPr>
        <w:ind w:firstLine="709"/>
        <w:spacing/>
        <w:jc w:val="both"/>
        <w:rPr>
          <w:sz w:val="28"/>
          <w:szCs w:val="28"/>
        </w:rPr>
      </w:pPr>
      <w:r>
        <w:rPr>
          <w:sz w:val="28"/>
          <w:szCs w:val="28"/>
        </w:rPr>
        <w:t>4.8.1. участвовать в обсуждении вопросов, рассматриваемых комиссией, вносить предложения и высказываться по любому вопросу, рассматриваемому комиссией.</w:t>
      </w:r>
    </w:p>
    <w:p>
      <w:pPr>
        <w:ind w:firstLine="567"/>
        <w:spacing/>
        <w:jc w:val="both"/>
        <w:tabs defTabSz="708">
          <w:tab w:val="right" w:pos="992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6237"/>
        <w:spacing/>
        <w:jc w:val="both"/>
        <w:tabs defTabSz="708">
          <w:tab w:val="right" w:pos="9921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6237"/>
        <w:spacing/>
        <w:jc w:val="both"/>
        <w:tabs defTabSz="708">
          <w:tab w:val="right" w:pos="9921" w:leader="none"/>
        </w:tabs>
        <w:rPr>
          <w:sz w:val="24"/>
          <w:szCs w:val="24"/>
        </w:rPr>
      </w:pPr>
      <w:r>
        <w:rPr>
          <w:sz w:val="24"/>
          <w:szCs w:val="24"/>
        </w:rPr>
        <w:t>Приложение 1</w:t>
      </w:r>
    </w:p>
    <w:p>
      <w:pPr>
        <w:ind w:left="6237"/>
        <w:spacing/>
        <w:jc w:val="both"/>
        <w:tabs defTabSz="708">
          <w:tab w:val="right" w:pos="9921" w:leader="none"/>
        </w:tabs>
        <w:rPr>
          <w:sz w:val="24"/>
          <w:szCs w:val="24"/>
        </w:rPr>
      </w:pPr>
      <w:r>
        <w:rPr>
          <w:sz w:val="24"/>
          <w:szCs w:val="24"/>
        </w:rPr>
        <w:t>к программе проведения оценки обеспечения готовности к отопительному периоду 2026-2027гг.на территории Анжеро-Судженского городского округа</w:t>
      </w:r>
    </w:p>
    <w:p>
      <w:pPr>
        <w:spacing/>
        <w:jc w:val="both"/>
        <w:tabs defTabSz="708">
          <w:tab w:val="right" w:pos="9921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/>
        <w:jc w:val="both"/>
        <w:tabs defTabSz="708">
          <w:tab w:val="right" w:pos="9921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/>
        <w:jc w:val="center"/>
        <w:tabs defTabSz="708">
          <w:tab w:val="right" w:pos="9921" w:leader="none"/>
        </w:tabs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График проведения оценки обеспечения готовности к отопительному периоду 2026/2027 гг.</w:t>
      </w:r>
    </w:p>
    <w:p>
      <w:pPr>
        <w:ind w:left="-142"/>
        <w:spacing/>
        <w:jc w:val="both"/>
        <w:keepNext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tbl>
      <w:tblPr>
        <w:tblStyle w:val="TableGrid"/>
        <w:name w:val="Таблица2"/>
        <w:tabOrder w:val="0"/>
        <w:jc w:val="left"/>
        <w:tblInd w:w="-431" w:type="dxa"/>
        <w:tblW w:w="10065" w:type="dxa"/>
        <w:pPr>
          <w:ind w:left="-431"/>
        </w:pPr>
        <w:tblLook w:val="04A0" w:firstRow="1" w:lastRow="0" w:firstColumn="1" w:lastColumn="0" w:noHBand="0" w:noVBand="1"/>
      </w:tblPr>
      <w:tblGrid>
        <w:gridCol w:w="823"/>
        <w:gridCol w:w="4251"/>
        <w:gridCol w:w="1873"/>
        <w:gridCol w:w="3118"/>
      </w:tblGrid>
      <w:tr>
        <w:trPr>
          <w:tblHeader w:val="0"/>
          <w:cantSplit w:val="0"/>
          <w:trHeight w:val="0" w:hRule="auto"/>
        </w:trPr>
        <w:tc>
          <w:tcPr>
            <w:tcW w:w="823" w:type="dxa"/>
            <w:vAlign w:val="center"/>
            <w:tmTcPr id="1787120411" protected="0"/>
          </w:tcPr>
          <w:p>
            <w:pPr>
              <w:pStyle w:val="para104"/>
            </w:pPr>
            <w:r>
              <w:t>№</w:t>
            </w:r>
          </w:p>
          <w:p>
            <w:pPr>
              <w:pStyle w:val="para104"/>
            </w:pPr>
            <w:r>
              <w:t>п/п</w:t>
            </w:r>
          </w:p>
        </w:tc>
        <w:tc>
          <w:tcPr>
            <w:tcW w:w="4251" w:type="dxa"/>
            <w:vAlign w:val="center"/>
            <w:tmTcPr id="1787120411" protected="0"/>
          </w:tcPr>
          <w:p>
            <w:pPr>
              <w:pStyle w:val="para104"/>
            </w:pPr>
            <w:r>
              <w:t>Объекты подлежащие проверке</w:t>
            </w:r>
          </w:p>
        </w:tc>
        <w:tc>
          <w:tcPr>
            <w:tcW w:w="1873" w:type="dxa"/>
            <w:vAlign w:val="center"/>
            <w:tmTcPr id="1787120411" protected="0"/>
          </w:tcPr>
          <w:p>
            <w:pPr>
              <w:pStyle w:val="para104"/>
            </w:pPr>
            <w:r>
              <w:t>Сроки проведения проверки</w:t>
            </w:r>
          </w:p>
        </w:tc>
        <w:tc>
          <w:tcPr>
            <w:tcW w:w="3118" w:type="dxa"/>
            <w:vAlign w:val="center"/>
            <w:tmTcPr id="1787120411" protected="0"/>
          </w:tcPr>
          <w:p>
            <w:pPr>
              <w:pStyle w:val="para104"/>
            </w:pPr>
            <w:r>
              <w:t>Документация, проверяемая в ходе проверки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  <w:rPr>
                <w:bCs/>
              </w:rPr>
            </w:pPr>
            <w:r>
              <w:rPr>
                <w:bCs/>
              </w:rPr>
              <w:t>АО «Каскад-энерго»</w:t>
            </w:r>
          </w:p>
        </w:tc>
        <w:tc>
          <w:tcPr>
            <w:tcW w:w="1873" w:type="dxa"/>
            <w:tmTcPr id="1787120411" protected="0"/>
          </w:tcPr>
          <w:p>
            <w:pPr>
              <w:pStyle w:val="para104"/>
            </w:pPr>
            <w:r>
              <w:t xml:space="preserve">20.07.2026 20.08.2026 </w:t>
            </w:r>
          </w:p>
          <w:p>
            <w:pPr>
              <w:pStyle w:val="para104"/>
            </w:pPr>
            <w:r/>
          </w:p>
        </w:tc>
        <w:tc>
          <w:tcPr>
            <w:tcW w:w="3118" w:type="dxa"/>
            <w:tmTcPr id="1787120411" protected="0"/>
          </w:tcPr>
          <w:p>
            <w:pPr>
              <w:pStyle w:val="para104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>
        <w:trPr>
          <w:tblHeader w:val="0"/>
          <w:cantSplit w:val="0"/>
          <w:trHeight w:val="562" w:hRule="atLeast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  <w:rPr>
                <w:bCs/>
              </w:rPr>
            </w:pPr>
            <w:r>
              <w:rPr>
                <w:bCs/>
              </w:rPr>
              <w:t>ГБУ КО «Анжеро-Судженский психоневрологический интернат»</w:t>
            </w:r>
          </w:p>
        </w:tc>
        <w:tc>
          <w:tcPr>
            <w:tcW w:w="1873" w:type="dxa"/>
            <w:tmTcPr id="1787120411" protected="0"/>
          </w:tcPr>
          <w:p>
            <w:pPr>
              <w:pStyle w:val="para104"/>
            </w:pPr>
            <w:r>
              <w:t>24.08.2026-01.09.2026</w:t>
            </w:r>
          </w:p>
        </w:tc>
        <w:tc>
          <w:tcPr>
            <w:tcW w:w="3118" w:type="dxa"/>
            <w:vMerge w:val="restart"/>
            <w:tmTcPr id="1787120411" protected="0"/>
          </w:tcPr>
          <w:p>
            <w:pPr>
              <w:pStyle w:val="para104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  <w:rPr>
                <w:bCs/>
              </w:rPr>
            </w:pPr>
            <w:r>
              <w:rPr>
                <w:bCs/>
              </w:rPr>
              <w:t>МБУ «Анжеро-Судженский комплексный центр социального обслуживания населения»</w:t>
            </w:r>
          </w:p>
        </w:tc>
        <w:tc>
          <w:tcPr>
            <w:tcW w:w="1873" w:type="dxa"/>
            <w:tmTcPr id="1787120411" protected="0"/>
          </w:tcPr>
          <w:p>
            <w:pPr>
              <w:pStyle w:val="para104"/>
            </w:pPr>
            <w:r>
              <w:t>24.08.2026-01.09.2026</w:t>
            </w: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10065" w:type="dxa"/>
            <w:gridSpan w:val="4"/>
            <w:tmTcPr id="1787120411" protected="0"/>
          </w:tcPr>
          <w:p>
            <w:pPr>
              <w:pStyle w:val="para104"/>
              <w:rPr>
                <w:b/>
              </w:rPr>
            </w:pPr>
            <w:r>
              <w:rPr>
                <w:b/>
              </w:rPr>
              <w:t>Управление образования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Школа №7</w:t>
            </w:r>
          </w:p>
        </w:tc>
        <w:tc>
          <w:tcPr>
            <w:tcW w:w="1873" w:type="dxa"/>
            <w:vMerge w:val="restart"/>
            <w:vAlign w:val="center"/>
            <w:tmTcPr id="1787120411" protected="0"/>
          </w:tcPr>
          <w:p>
            <w:pPr>
              <w:pStyle w:val="para104"/>
            </w:pPr>
            <w:r>
              <w:t>17.08.2026-01.09.2026</w:t>
            </w:r>
          </w:p>
        </w:tc>
        <w:tc>
          <w:tcPr>
            <w:tcW w:w="3118" w:type="dxa"/>
            <w:vMerge w:val="restart"/>
            <w:tmTcPr id="1787120411" protected="0"/>
          </w:tcPr>
          <w:p>
            <w:pPr>
              <w:pStyle w:val="para104"/>
            </w:pPr>
            <w:bookmarkStart w:id="3" w:name="ИО"/>
            <w:r/>
            <w:bookmarkEnd w:id="3"/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Школа-интернат №37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Детский сад №8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7.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Детский сад №12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8.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Детский сад №28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10065" w:type="dxa"/>
            <w:gridSpan w:val="4"/>
            <w:tmTcPr id="1787120411" protected="0"/>
          </w:tcPr>
          <w:p>
            <w:pPr>
              <w:pStyle w:val="para104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para104"/>
            </w:pPr>
            <w:r>
              <w:rPr>
                <w:b/>
              </w:rPr>
              <w:t>ООО «Ижморская ресурсоснабжающая организация»</w:t>
            </w:r>
            <w:r/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9.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  <w:rPr>
                <w:bCs/>
              </w:rPr>
            </w:pPr>
            <w:r>
              <w:rPr>
                <w:bCs/>
              </w:rPr>
              <w:t>Блочно-модульная котельная, ул.Водоканальная, 7А</w:t>
            </w:r>
          </w:p>
        </w:tc>
        <w:tc>
          <w:tcPr>
            <w:tcW w:w="1873" w:type="dxa"/>
            <w:vMerge w:val="restart"/>
            <w:vAlign w:val="center"/>
            <w:tmTcPr id="1787120411" protected="0"/>
          </w:tcPr>
          <w:p>
            <w:pPr>
              <w:pStyle w:val="para104"/>
            </w:pPr>
            <w:r>
              <w:t>17.08.2026-31.08.2026</w:t>
            </w:r>
          </w:p>
        </w:tc>
        <w:tc>
          <w:tcPr>
            <w:tcW w:w="3118" w:type="dxa"/>
            <w:vMerge w:val="restart"/>
            <w:tmTcPr id="1787120411" protected="0"/>
          </w:tcPr>
          <w:p>
            <w:pPr>
              <w:pStyle w:val="para104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10.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  <w:rPr>
                <w:b/>
              </w:rPr>
            </w:pPr>
            <w:r>
              <w:rPr>
                <w:bCs/>
              </w:rPr>
              <w:t>Блочно-модульная котельная, ул.Водоканальная, 27А</w:t>
            </w:r>
            <w:r>
              <w:rPr>
                <w:b/>
              </w:rPr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11.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  <w:rPr>
                <w:bCs/>
              </w:rPr>
            </w:pPr>
            <w:r>
              <w:t>Тепловые сети от б</w:t>
            </w:r>
            <w:r>
              <w:rPr>
                <w:bCs/>
              </w:rPr>
              <w:t>лочно</w:t>
            </w:r>
            <w:r>
              <w:rPr>
                <w:bCs/>
              </w:rPr>
              <w:t xml:space="preserve">-модульной котельной, </w:t>
            </w:r>
            <w:r>
              <w:rPr>
                <w:bCs/>
              </w:rPr>
              <w:t>ул.Водоканальная</w:t>
            </w:r>
            <w:r>
              <w:rPr>
                <w:bCs/>
              </w:rPr>
              <w:t>, 7А</w:t>
            </w:r>
            <w:r>
              <w:rPr>
                <w:bCs/>
              </w:rPr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12.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  <w:rPr>
                <w:bCs/>
              </w:rPr>
            </w:pPr>
            <w:r>
              <w:t>Тепловые сети от б</w:t>
            </w:r>
            <w:r>
              <w:rPr>
                <w:bCs/>
              </w:rPr>
              <w:t>лочно</w:t>
            </w:r>
            <w:r>
              <w:rPr>
                <w:bCs/>
              </w:rPr>
              <w:t xml:space="preserve">-модульной котельной, </w:t>
            </w:r>
            <w:r>
              <w:rPr>
                <w:bCs/>
              </w:rPr>
              <w:t>ул.Водоканальная</w:t>
            </w:r>
            <w:r>
              <w:rPr>
                <w:bCs/>
              </w:rPr>
              <w:t>, 27А</w:t>
            </w:r>
            <w:r>
              <w:rPr>
                <w:bCs/>
              </w:rPr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10065" w:type="dxa"/>
            <w:gridSpan w:val="4"/>
            <w:tmTcPr id="1787120411" protected="0"/>
          </w:tcPr>
          <w:p>
            <w:pPr>
              <w:pStyle w:val="para104"/>
              <w:rPr>
                <w:b/>
              </w:rPr>
            </w:pPr>
            <w:r>
              <w:rPr>
                <w:b/>
              </w:rPr>
              <w:t>ООО «ТеплоРесурс»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13.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№1</w:t>
            </w:r>
          </w:p>
        </w:tc>
        <w:tc>
          <w:tcPr>
            <w:tcW w:w="1873" w:type="dxa"/>
            <w:vMerge w:val="restart"/>
            <w:vAlign w:val="center"/>
            <w:tmTcPr id="1787120411" protected="0"/>
          </w:tcPr>
          <w:p>
            <w:pPr>
              <w:pStyle w:val="para104"/>
            </w:pPr>
            <w:r>
              <w:t>27.07.2026-</w:t>
            </w:r>
          </w:p>
          <w:p>
            <w:pPr>
              <w:pStyle w:val="para104"/>
            </w:pPr>
            <w:r>
              <w:t>27.08.2026</w:t>
            </w:r>
          </w:p>
        </w:tc>
        <w:tc>
          <w:tcPr>
            <w:tcW w:w="3118" w:type="dxa"/>
            <w:vMerge w:val="restart"/>
            <w:tmTcPr id="1787120411" protected="0"/>
          </w:tcPr>
          <w:p>
            <w:pPr>
              <w:pStyle w:val="para104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14.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№3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15.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№4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16.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№5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17.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№6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18.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№7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19.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№8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20.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№9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21.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№10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22.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№14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23.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№15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24.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№16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25.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№18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26.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№19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27.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№20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28.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№23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29.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№24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30.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№25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31.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№26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32.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№27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33.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№29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232" w:hRule="atLeast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34.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Котельная №30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35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№1</w:t>
            </w:r>
          </w:p>
        </w:tc>
        <w:tc>
          <w:tcPr>
            <w:tcW w:w="1873" w:type="dxa"/>
            <w:vMerge w:val="restart"/>
            <w:vAlign w:val="center"/>
            <w:tmTcPr id="1787120411" protected="0"/>
          </w:tcPr>
          <w:p>
            <w:pPr>
              <w:pStyle w:val="para104"/>
            </w:pPr>
            <w:r>
              <w:t>27.07.2026-</w:t>
            </w:r>
          </w:p>
          <w:p>
            <w:pPr>
              <w:pStyle w:val="para104"/>
            </w:pPr>
            <w:r>
              <w:t>27.08.2026</w:t>
            </w:r>
          </w:p>
        </w:tc>
        <w:tc>
          <w:tcPr>
            <w:tcW w:w="3118" w:type="dxa"/>
            <w:vMerge w:val="restart"/>
            <w:tmTcPr id="1787120411" protected="0"/>
          </w:tcPr>
          <w:p>
            <w:pPr>
              <w:pStyle w:val="para104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36.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№3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37.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№4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38.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№5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39.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№6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40.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№7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41.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№8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42.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№9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43.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№10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44.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№14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45.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№15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46.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№16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47.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№18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48.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№19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49.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№20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50.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№23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51.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№24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52.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№25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53.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№26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54.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№27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55.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№29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297" w:hRule="atLeast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56.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Тепловые сети от котельной №30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10065" w:type="dxa"/>
            <w:gridSpan w:val="4"/>
            <w:tmTcPr id="1787120411" protected="0"/>
          </w:tcPr>
          <w:p>
            <w:pPr>
              <w:pStyle w:val="para104"/>
              <w:rPr>
                <w:b/>
              </w:rPr>
            </w:pPr>
            <w:r>
              <w:rPr>
                <w:b/>
              </w:rPr>
              <w:t>ООО «Новая сетевая компания»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57.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Теплосети от АО «Каскад-энерго»</w:t>
            </w:r>
          </w:p>
        </w:tc>
        <w:tc>
          <w:tcPr>
            <w:tcW w:w="1873" w:type="dxa"/>
            <w:tmTcPr id="1787120411" protected="0"/>
          </w:tcPr>
          <w:p>
            <w:pPr>
              <w:pStyle w:val="para104"/>
            </w:pPr>
            <w:r>
              <w:t xml:space="preserve">20.07.2026 20.08.2026 </w:t>
            </w:r>
          </w:p>
          <w:p>
            <w:pPr>
              <w:pStyle w:val="para104"/>
            </w:pPr>
            <w:r/>
          </w:p>
        </w:tc>
        <w:tc>
          <w:tcPr>
            <w:tcW w:w="3118" w:type="dxa"/>
            <w:tmTcPr id="1787120411" protected="0"/>
          </w:tcPr>
          <w:p>
            <w:pPr>
              <w:pStyle w:val="para104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10065" w:type="dxa"/>
            <w:gridSpan w:val="4"/>
            <w:tmTcPr id="1787120411" protected="0"/>
          </w:tcPr>
          <w:p>
            <w:pPr>
              <w:pStyle w:val="para104"/>
              <w:rPr>
                <w:b/>
              </w:rPr>
            </w:pPr>
            <w:r>
              <w:rPr>
                <w:b/>
              </w:rPr>
              <w:t>Жилой фонд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58.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ООО «УК Приоритет»</w:t>
            </w:r>
          </w:p>
        </w:tc>
        <w:tc>
          <w:tcPr>
            <w:tcW w:w="1873" w:type="dxa"/>
            <w:vMerge w:val="restart"/>
            <w:vAlign w:val="center"/>
            <w:tmTcPr id="1787120411" protected="0"/>
          </w:tcPr>
          <w:p>
            <w:pPr>
              <w:pStyle w:val="para104"/>
            </w:pPr>
            <w:r>
              <w:t>24.08.2026-</w:t>
            </w:r>
          </w:p>
          <w:p>
            <w:pPr>
              <w:pStyle w:val="para104"/>
            </w:pPr>
            <w:r>
              <w:t>01.09.2026</w:t>
            </w:r>
          </w:p>
          <w:p>
            <w:pPr>
              <w:pStyle w:val="para104"/>
            </w:pPr>
            <w:r/>
          </w:p>
        </w:tc>
        <w:tc>
          <w:tcPr>
            <w:tcW w:w="3118" w:type="dxa"/>
            <w:vMerge w:val="restart"/>
            <w:tmTcPr id="1787120411" protected="0"/>
          </w:tcPr>
          <w:p>
            <w:pPr>
              <w:pStyle w:val="para104"/>
            </w:pPr>
            <w:r>
              <w:t>Согласно «</w:t>
            </w:r>
            <w:r>
              <w:rPr>
                <w:color w:val="34343c"/>
              </w:rPr>
              <w:t xml:space="preserve"> Правил обеспечения готовности к отопительному периоду и Порядка проведения оценки обеспечения готовности к отопительному периоду»,</w:t>
            </w:r>
            <w:r>
              <w:t xml:space="preserve"> утвержденных Приказом Министерства энергетики России от 13.11.2024г. №2234</w:t>
            </w: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59.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УК «Диалог-АС»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60.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ООО «УК Сервис дом»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61.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ООО «Управляющая компания Анжерская»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264" w:hRule="atLeast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62.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ООО «УКА»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63.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ООО «УК Аркада»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64.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ООО «УК Крокус»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65.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ООО «Лидер УК»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66.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ООО «Велес»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67.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ООО «Парус»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68.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ТСН Восток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69.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ТСЖ Сибирь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  <w:tr>
        <w:trPr>
          <w:tblHeader w:val="0"/>
          <w:cantSplit w:val="0"/>
          <w:trHeight w:val="0" w:hRule="auto"/>
        </w:trPr>
        <w:tc>
          <w:tcPr>
            <w:tcW w:w="823" w:type="dxa"/>
            <w:tmTcPr id="1787120411" protected="0"/>
          </w:tcPr>
          <w:p>
            <w:pPr>
              <w:pStyle w:val="para104"/>
            </w:pPr>
            <w:r>
              <w:t>70.</w:t>
            </w:r>
          </w:p>
        </w:tc>
        <w:tc>
          <w:tcPr>
            <w:tcW w:w="4251" w:type="dxa"/>
            <w:tmTcPr id="1787120411" protected="0"/>
          </w:tcPr>
          <w:p>
            <w:pPr>
              <w:pStyle w:val="para104"/>
            </w:pPr>
            <w:r>
              <w:t>ТСЖ Домовой</w:t>
            </w:r>
          </w:p>
        </w:tc>
        <w:tc>
          <w:tcPr>
            <w:tcW w:w="1873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  <w:tc>
          <w:tcPr>
            <w:tcW w:w="3118" w:type="dxa"/>
            <w:vMerge/>
            <w:tmTcPr id="1787120411" protected="0"/>
          </w:tcPr>
          <w:p>
            <w:pPr>
              <w:widowControl w:val="0"/>
              <w:rPr>
                <w:rFonts w:ascii="Tahoma" w:hAnsi="Tahoma" w:eastAsia="Tahoma" w:cs="Tahoma"/>
                <w:sz w:val="24"/>
                <w:szCs w:val="24"/>
                <w:lang w:val="en-us" w:bidi="en-us"/>
              </w:rPr>
            </w:pPr>
          </w:p>
        </w:tc>
      </w:tr>
    </w:tbl>
    <w:p>
      <w:pPr>
        <w:tabs defTabSz="708">
          <w:tab w:val="right" w:pos="9921" w:leader="none"/>
        </w:tabs>
      </w:pPr>
      <w:r/>
    </w:p>
    <w:p>
      <w:pPr>
        <w:spacing/>
        <w:jc w:val="right"/>
        <w:tabs defTabSz="708">
          <w:tab w:val="left" w:pos="567" w:leader="none"/>
          <w:tab w:val="left" w:pos="7655" w:leader="none"/>
        </w:tabs>
      </w:pPr>
      <w:r/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lowerRoman"/>
        <w:numStart w:val="1"/>
        <w:numRestart w:val="continuous"/>
      </w:endnotePr>
      <w:footerReference w:type="default" r:id="rId17"/>
      <w:type w:val="nextPage"/>
      <w:pgSz w:h="16838" w:w="11906"/>
      <w:pgMar w:left="1701" w:top="567" w:right="851" w:bottom="1134" w:header="0"/>
      <w:paperSrc w:first="0" w:other="0" a="0" b="0"/>
      <w:pgNumType w:fmt="decimal"/>
      <w:tmGutter w:val="3"/>
      <w:mirrorMargins w:val="0"/>
      <w:tmSection w:h="-2">
        <w:tmFooter w:id="0" w:h="0" edge="720" text="0">
          <w:shd w:val="none"/>
        </w:tmFooter>
      </w:tmSection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charset w:val="02"/>
    <w:family w:val="roman"/>
    <w:pitch w:val="default"/>
  </w:font>
  <w:font w:name="Times New Roman">
    <w:charset w:val="00"/>
    <w:family w:val="roman"/>
    <w:pitch w:val="default"/>
  </w:font>
  <w:font w:name="Courier New">
    <w:charset w:val="00"/>
    <w:family w:val="modern"/>
    <w:pitch w:val="default"/>
  </w:font>
  <w:font w:name="Wingdings">
    <w:charset w:val="02"/>
    <w:family w:val="auto"/>
    <w:pitch w:val="default"/>
  </w:font>
  <w:font w:name="PT Astra Serif">
    <w:charset w:val="00"/>
    <w:family w:val="roman"/>
    <w:pitch w:val="default"/>
  </w:font>
  <w:font w:name="Tahoma">
    <w:charset w:val="00"/>
    <w:family w:val="swiss"/>
    <w:pitch w:val="default"/>
  </w:font>
  <w:font w:name="Noto Sans Devanagari">
    <w:charset w:val="00"/>
    <w:family w:val="swiss"/>
    <w:pitch w:val="default"/>
  </w:font>
  <w:font w:name="Verdana">
    <w:charset w:val="00"/>
    <w:family w:val="swiss"/>
    <w:pitch w:val="default"/>
  </w:font>
  <w:font w:name="Segoe UI">
    <w:charset w:val="00"/>
    <w:family w:val="swiss"/>
    <w:pitch w:val="default"/>
  </w:font>
  <w:font w:name="Calibri">
    <w:charset w:val="00"/>
    <w:family w:val="swiss"/>
    <w:pitch w:val="default"/>
  </w:font>
  <w:font w:name="Arial Narrow"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p>
    <w:pPr>
      <w:pStyle w:val="para106"/>
      <w:spacing/>
      <w:jc w:val="center"/>
    </w:pPr>
    <w:r/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abstractNum w:abstractNumId="0">
    <w:multiLevelType w:val="hybridMultilevel"/>
    <w:tmNoNumList/>
    <w:lvl w:ilvl="0">
      <w:numFmt w:val="none"/>
      <w:lvlText w:val=""/>
      <w:lvlJc w:val="left"/>
      <w:pPr>
        <w:tabs>
          <w:tab w:val="num" w:pos="360"/>
        </w:tabs>
        <w:ind w:left="360" w:hanging="360"/>
      </w:pPr>
    </w:lvl>
    <w:lvl w:ilvl="1">
      <w:numFmt w:val="none"/>
      <w:lvlText w:val=""/>
      <w:lvlJc w:val="left"/>
      <w:pPr>
        <w:tabs>
          <w:tab w:val="num" w:pos="360"/>
        </w:tabs>
        <w:ind w:left="360" w:hanging="360"/>
      </w:pPr>
    </w:lvl>
    <w:lvl w:ilvl="2">
      <w:numFmt w:val="none"/>
      <w:lvlText w:val=""/>
      <w:lvlJc w:val="left"/>
      <w:pPr>
        <w:tabs>
          <w:tab w:val="num" w:pos="360"/>
        </w:tabs>
        <w:ind w:left="360" w:hanging="360"/>
      </w:pPr>
    </w:lvl>
    <w:lvl w:ilvl="3">
      <w:numFmt w:val="none"/>
      <w:lvlText w:val=""/>
      <w:lvlJc w:val="left"/>
      <w:pPr>
        <w:tabs>
          <w:tab w:val="num" w:pos="360"/>
        </w:tabs>
        <w:ind w:left="360" w:hanging="360"/>
      </w:pPr>
    </w:lvl>
    <w:lvl w:ilvl="4">
      <w:numFmt w:val="none"/>
      <w:lvlText w:val=""/>
      <w:lvlJc w:val="left"/>
      <w:pPr>
        <w:tabs>
          <w:tab w:val="num" w:pos="360"/>
        </w:tabs>
        <w:ind w:left="360" w:hanging="360"/>
      </w:pPr>
    </w:lvl>
    <w:lvl w:ilvl="5">
      <w:numFmt w:val="none"/>
      <w:lvlText w:val=""/>
      <w:lvlJc w:val="left"/>
      <w:pPr>
        <w:tabs>
          <w:tab w:val="num" w:pos="360"/>
        </w:tabs>
        <w:ind w:left="360" w:hanging="360"/>
      </w:pPr>
    </w:lvl>
    <w:lvl w:ilvl="6">
      <w:numFmt w:val="none"/>
      <w:lvlText w:val=""/>
      <w:lvlJc w:val="left"/>
      <w:pPr>
        <w:tabs>
          <w:tab w:val="num" w:pos="360"/>
        </w:tabs>
        <w:ind w:left="360" w:hanging="360"/>
      </w:pPr>
    </w:lvl>
    <w:lvl w:ilvl="7">
      <w:numFmt w:val="none"/>
      <w:lvlText w:val=""/>
      <w:lvlJc w:val="left"/>
      <w:pPr>
        <w:tabs>
          <w:tab w:val="num" w:pos="360"/>
        </w:tabs>
        <w:ind w:left="360" w:hanging="360"/>
      </w:pPr>
    </w:lvl>
    <w:lvl w:ilvl="8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>
    <w:multiLevelType w:val="singleLevel"/>
    <w:name w:val="WW8Num6"/>
    <w:lvl w:ilvl="0">
      <w:numFmt w:val="bullet"/>
      <w:suff w:val="tab"/>
      <w:lvlText w:val="·"/>
      <w:lvlJc w:val="left"/>
      <w:pPr>
        <w:ind w:left="994" w:hanging="0"/>
      </w:pPr>
      <w:rPr>
        <w:rFonts w:ascii="Symbol" w:hAnsi="Symbol" w:cs="Symbol"/>
      </w:rPr>
    </w:lvl>
  </w:abstractNum>
  <w:abstractNum w:abstractNumId="2">
    <w:multiLevelType w:val="hybridMultilevel"/>
    <w:name w:val="Нумерованный список 3"/>
    <w:lvl w:ilvl="0">
      <w:start w:val="2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3">
    <w:multiLevelType w:val="hybridMultilevel"/>
    <w:name w:val="WW8Num20"/>
    <w:lvl w:ilvl="0">
      <w:start w:val="4"/>
      <w:numFmt w:val="decimal"/>
      <w:suff w:val="tab"/>
      <w:lvlText w:val="%1."/>
      <w:lvlJc w:val="left"/>
      <w:pPr>
        <w:ind w:left="360" w:hanging="0"/>
      </w:pPr>
    </w:lvl>
    <w:lvl w:ilvl="1">
      <w:start w:val="1"/>
      <w:numFmt w:val="lowerLetter"/>
      <w:suff w:val="tab"/>
      <w:lvlText w:val="%2."/>
      <w:lvlJc w:val="left"/>
      <w:pPr>
        <w:ind w:left="1080" w:hanging="0"/>
      </w:pPr>
    </w:lvl>
    <w:lvl w:ilvl="2">
      <w:start w:val="1"/>
      <w:numFmt w:val="lowerRoman"/>
      <w:suff w:val="tab"/>
      <w:lvlText w:val="%3."/>
      <w:lvlJc w:val="right"/>
      <w:pPr>
        <w:ind w:left="1980" w:hanging="0"/>
      </w:pPr>
    </w:lvl>
    <w:lvl w:ilvl="3">
      <w:start w:val="1"/>
      <w:numFmt w:val="decimal"/>
      <w:suff w:val="tab"/>
      <w:lvlText w:val="%4."/>
      <w:lvlJc w:val="left"/>
      <w:pPr>
        <w:ind w:left="2520" w:hanging="0"/>
      </w:pPr>
    </w:lvl>
    <w:lvl w:ilvl="4">
      <w:start w:val="1"/>
      <w:numFmt w:val="lowerLetter"/>
      <w:suff w:val="tab"/>
      <w:lvlText w:val="%5."/>
      <w:lvlJc w:val="left"/>
      <w:pPr>
        <w:ind w:left="3240" w:hanging="0"/>
      </w:pPr>
    </w:lvl>
    <w:lvl w:ilvl="5">
      <w:start w:val="1"/>
      <w:numFmt w:val="lowerRoman"/>
      <w:suff w:val="tab"/>
      <w:lvlText w:val="%6."/>
      <w:lvlJc w:val="right"/>
      <w:pPr>
        <w:ind w:left="4140" w:hanging="0"/>
      </w:pPr>
    </w:lvl>
    <w:lvl w:ilvl="6">
      <w:start w:val="1"/>
      <w:numFmt w:val="decimal"/>
      <w:suff w:val="tab"/>
      <w:lvlText w:val="%7."/>
      <w:lvlJc w:val="left"/>
      <w:pPr>
        <w:ind w:left="4680" w:hanging="0"/>
      </w:pPr>
    </w:lvl>
    <w:lvl w:ilvl="7">
      <w:start w:val="1"/>
      <w:numFmt w:val="lowerLetter"/>
      <w:suff w:val="tab"/>
      <w:lvlText w:val="%8."/>
      <w:lvlJc w:val="left"/>
      <w:pPr>
        <w:ind w:left="5400" w:hanging="0"/>
      </w:pPr>
    </w:lvl>
    <w:lvl w:ilvl="8">
      <w:start w:val="1"/>
      <w:numFmt w:val="lowerRoman"/>
      <w:suff w:val="tab"/>
      <w:lvlText w:val="%9."/>
      <w:lvlJc w:val="right"/>
      <w:pPr>
        <w:ind w:left="6300" w:hanging="0"/>
      </w:pPr>
    </w:lvl>
  </w:abstractNum>
  <w:abstractNum w:abstractNumId="4">
    <w:multiLevelType w:val="hybridMultilevel"/>
    <w:name w:val="Нумерованный список 2"/>
    <w:lvl w:ilvl="0">
      <w:numFmt w:val="bullet"/>
      <w:suff w:val="tab"/>
      <w:lvlText w:val="-"/>
      <w:lvlJc w:val="left"/>
      <w:pPr>
        <w:ind w:left="927" w:hanging="0"/>
      </w:pPr>
      <w:rPr>
        <w:rFonts w:ascii="Symbol" w:hAnsi="Symbol"/>
      </w:rPr>
    </w:lvl>
    <w:lvl w:ilvl="1">
      <w:numFmt w:val="bullet"/>
      <w:suff w:val="tab"/>
      <w:lvlText w:val="o"/>
      <w:lvlJc w:val="left"/>
      <w:pPr>
        <w:ind w:left="1647" w:hanging="0"/>
      </w:pPr>
      <w:rPr>
        <w:rFonts w:ascii="Courier New" w:hAnsi="Courier New"/>
      </w:rPr>
    </w:lvl>
    <w:lvl w:ilvl="2">
      <w:numFmt w:val="bullet"/>
      <w:suff w:val="tab"/>
      <w:lvlText w:val=""/>
      <w:lvlJc w:val="left"/>
      <w:pPr>
        <w:ind w:left="2367" w:hanging="0"/>
      </w:pPr>
      <w:rPr>
        <w:rFonts w:ascii="Wingdings" w:hAnsi="Wingdings" w:eastAsia="Wingdings" w:cs="Wingdings"/>
      </w:rPr>
    </w:lvl>
    <w:lvl w:ilvl="3">
      <w:numFmt w:val="bullet"/>
      <w:suff w:val="tab"/>
      <w:lvlText w:val="·"/>
      <w:lvlJc w:val="left"/>
      <w:pPr>
        <w:ind w:left="3087" w:hanging="0"/>
      </w:pPr>
      <w:rPr>
        <w:rFonts w:ascii="Symbol" w:hAnsi="Symbol"/>
      </w:rPr>
    </w:lvl>
    <w:lvl w:ilvl="4">
      <w:numFmt w:val="bullet"/>
      <w:suff w:val="tab"/>
      <w:lvlText w:val="o"/>
      <w:lvlJc w:val="left"/>
      <w:pPr>
        <w:ind w:left="3807" w:hanging="0"/>
      </w:pPr>
      <w:rPr>
        <w:rFonts w:ascii="Courier New" w:hAnsi="Courier New"/>
      </w:rPr>
    </w:lvl>
    <w:lvl w:ilvl="5">
      <w:numFmt w:val="bullet"/>
      <w:suff w:val="tab"/>
      <w:lvlText w:val=""/>
      <w:lvlJc w:val="left"/>
      <w:pPr>
        <w:ind w:left="4527" w:hanging="0"/>
      </w:pPr>
      <w:rPr>
        <w:rFonts w:ascii="Wingdings" w:hAnsi="Wingdings" w:eastAsia="Wingdings" w:cs="Wingdings"/>
      </w:rPr>
    </w:lvl>
    <w:lvl w:ilvl="6">
      <w:numFmt w:val="bullet"/>
      <w:suff w:val="tab"/>
      <w:lvlText w:val="·"/>
      <w:lvlJc w:val="left"/>
      <w:pPr>
        <w:ind w:left="5247" w:hanging="0"/>
      </w:pPr>
      <w:rPr>
        <w:rFonts w:ascii="Symbol" w:hAnsi="Symbol"/>
      </w:rPr>
    </w:lvl>
    <w:lvl w:ilvl="7">
      <w:numFmt w:val="bullet"/>
      <w:suff w:val="tab"/>
      <w:lvlText w:val="o"/>
      <w:lvlJc w:val="left"/>
      <w:pPr>
        <w:ind w:left="5967" w:hanging="0"/>
      </w:pPr>
      <w:rPr>
        <w:rFonts w:ascii="Courier New" w:hAnsi="Courier New"/>
      </w:rPr>
    </w:lvl>
    <w:lvl w:ilvl="8">
      <w:numFmt w:val="bullet"/>
      <w:suff w:val="tab"/>
      <w:lvlText w:val=""/>
      <w:lvlJc w:val="left"/>
      <w:pPr>
        <w:ind w:left="6687" w:hanging="0"/>
      </w:pPr>
      <w:rPr>
        <w:rFonts w:ascii="Wingdings" w:hAnsi="Wingdings" w:eastAsia="Wingdings" w:cs="Wingdings"/>
      </w:rPr>
    </w:lvl>
  </w:abstractNum>
  <w:abstractNum w:abstractNumId="5">
    <w:multiLevelType w:val="hybridMultilevel"/>
    <w:name w:val="Нумерованный список 4"/>
    <w:lvl w:ilvl="0">
      <w:start w:val="1"/>
      <w:numFmt w:val="decimal"/>
      <w:suff w:val="tab"/>
      <w:lvlText w:val="%1."/>
      <w:lvlJc w:val="left"/>
      <w:pPr>
        <w:ind w:left="0" w:hanging="0"/>
      </w:pPr>
    </w:lvl>
    <w:lvl w:ilvl="1">
      <w:start w:val="1"/>
      <w:numFmt w:val="decimal"/>
      <w:suff w:val="tab"/>
      <w:lvlText w:val="%1.%2."/>
      <w:lvlJc w:val="left"/>
      <w:pPr>
        <w:ind w:left="360" w:hanging="0"/>
      </w:pPr>
    </w:lvl>
    <w:lvl w:ilvl="2">
      <w:start w:val="1"/>
      <w:numFmt w:val="decimal"/>
      <w:suff w:val="tab"/>
      <w:lvlText w:val="%1.%2.%3."/>
      <w:lvlJc w:val="left"/>
      <w:pPr>
        <w:ind w:left="720" w:hanging="0"/>
      </w:pPr>
    </w:lvl>
    <w:lvl w:ilvl="3">
      <w:start w:val="1"/>
      <w:numFmt w:val="decimal"/>
      <w:suff w:val="tab"/>
      <w:lvlText w:val="%1.%2.%3.%4."/>
      <w:lvlJc w:val="left"/>
      <w:pPr>
        <w:ind w:left="1080" w:hanging="0"/>
      </w:pPr>
    </w:lvl>
    <w:lvl w:ilvl="4">
      <w:start w:val="1"/>
      <w:numFmt w:val="decimal"/>
      <w:suff w:val="tab"/>
      <w:lvlText w:val="%1.%2.%3.%4.%5."/>
      <w:lvlJc w:val="left"/>
      <w:pPr>
        <w:ind w:left="1440" w:hanging="0"/>
      </w:pPr>
    </w:lvl>
    <w:lvl w:ilvl="5">
      <w:start w:val="1"/>
      <w:numFmt w:val="decimal"/>
      <w:suff w:val="tab"/>
      <w:lvlText w:val="%1.%2.%3.%4.%5.%6."/>
      <w:lvlJc w:val="left"/>
      <w:pPr>
        <w:ind w:left="1800" w:hanging="0"/>
      </w:pPr>
    </w:lvl>
    <w:lvl w:ilvl="6">
      <w:start w:val="1"/>
      <w:numFmt w:val="decimal"/>
      <w:suff w:val="tab"/>
      <w:lvlText w:val="%1.%2.%3.%4.%5.%6.%7."/>
      <w:lvlJc w:val="left"/>
      <w:pPr>
        <w:ind w:left="2160" w:hanging="0"/>
      </w:pPr>
    </w:lvl>
    <w:lvl w:ilvl="7">
      <w:start w:val="1"/>
      <w:numFmt w:val="decimal"/>
      <w:suff w:val="tab"/>
      <w:lvlText w:val="%1.%2.%3.%4.%5.%6.%7.%8."/>
      <w:lvlJc w:val="left"/>
      <w:pPr>
        <w:ind w:left="2520" w:hanging="0"/>
      </w:pPr>
    </w:lvl>
    <w:lvl w:ilvl="8">
      <w:start w:val="1"/>
      <w:numFmt w:val="decimal"/>
      <w:suff w:val="tab"/>
      <w:lvlText w:val="%1.%2.%3.%4.%5.%6.%7.%8.%9."/>
      <w:lvlJc w:val="left"/>
      <w:pPr>
        <w:ind w:left="2880" w:hanging="0"/>
      </w:pPr>
    </w:lvl>
  </w:abstractNum>
  <w:abstractNum w:abstractNumId="6">
    <w:multiLevelType w:val="hybridMultilevel"/>
    <w:name w:val="Нумерованный список 1"/>
    <w:lvl w:ilvl="0">
      <w:start w:val="1"/>
      <w:numFmt w:val="none"/>
      <w:pStyle w:val="para1"/>
      <w:suff w:val="nothing"/>
      <w:lvlText w:val=""/>
      <w:lvlJc w:val="left"/>
      <w:pPr>
        <w:ind w:left="0" w:hanging="0"/>
      </w:pPr>
    </w:lvl>
    <w:lvl w:ilvl="1">
      <w:start w:val="1"/>
      <w:numFmt w:val="none"/>
      <w:pStyle w:val="para2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7">
    <w:multiLevelType w:val="hybridMultilevel"/>
    <w:name w:val="WW8Num7"/>
    <w:lvl w:ilvl="0">
      <w:start w:val="1"/>
      <w:numFmt w:val="decimal"/>
      <w:suff w:val="tab"/>
      <w:lvlText w:val="%1."/>
      <w:lvlJc w:val="left"/>
      <w:pPr>
        <w:ind w:left="0" w:hanging="0"/>
      </w:pPr>
      <w:rPr>
        <w:sz w:val="28"/>
      </w:rPr>
    </w:lvl>
    <w:lvl w:ilvl="1">
      <w:start w:val="1"/>
      <w:numFmt w:val="decimal"/>
      <w:suff w:val="tab"/>
      <w:lvlText w:val="%1.%2."/>
      <w:lvlJc w:val="left"/>
      <w:pPr>
        <w:ind w:left="425" w:hanging="0"/>
      </w:pPr>
      <w:rPr>
        <w:sz w:val="28"/>
      </w:rPr>
    </w:lvl>
    <w:lvl w:ilvl="2">
      <w:start w:val="1"/>
      <w:numFmt w:val="decimal"/>
      <w:suff w:val="tab"/>
      <w:lvlText w:val="%1.%2.%3."/>
      <w:lvlJc w:val="left"/>
      <w:pPr>
        <w:ind w:left="1134" w:hanging="0"/>
      </w:pPr>
      <w:rPr>
        <w:sz w:val="28"/>
      </w:rPr>
    </w:lvl>
    <w:lvl w:ilvl="3">
      <w:start w:val="1"/>
      <w:numFmt w:val="decimal"/>
      <w:suff w:val="tab"/>
      <w:lvlText w:val="%1.%2.%3.%4."/>
      <w:lvlJc w:val="left"/>
      <w:pPr>
        <w:ind w:left="1701" w:hanging="0"/>
      </w:pPr>
      <w:rPr>
        <w:sz w:val="28"/>
      </w:rPr>
    </w:lvl>
    <w:lvl w:ilvl="4">
      <w:start w:val="1"/>
      <w:numFmt w:val="decimal"/>
      <w:suff w:val="tab"/>
      <w:lvlText w:val="%1.%2.%3.%4.%5."/>
      <w:lvlJc w:val="left"/>
      <w:pPr>
        <w:ind w:left="2268" w:hanging="0"/>
      </w:pPr>
      <w:rPr>
        <w:sz w:val="28"/>
      </w:rPr>
    </w:lvl>
    <w:lvl w:ilvl="5">
      <w:start w:val="1"/>
      <w:numFmt w:val="decimal"/>
      <w:suff w:val="tab"/>
      <w:lvlText w:val="%1.%2.%3.%4.%5.%6."/>
      <w:lvlJc w:val="left"/>
      <w:pPr>
        <w:ind w:left="2835" w:hanging="0"/>
      </w:pPr>
      <w:rPr>
        <w:sz w:val="28"/>
      </w:rPr>
    </w:lvl>
    <w:lvl w:ilvl="6">
      <w:start w:val="1"/>
      <w:numFmt w:val="decimal"/>
      <w:suff w:val="tab"/>
      <w:lvlText w:val="%1.%2.%3.%4.%5.%6.%7."/>
      <w:lvlJc w:val="left"/>
      <w:pPr>
        <w:ind w:left="3402" w:hanging="0"/>
      </w:pPr>
      <w:rPr>
        <w:sz w:val="28"/>
      </w:rPr>
    </w:lvl>
    <w:lvl w:ilvl="7">
      <w:start w:val="1"/>
      <w:numFmt w:val="decimal"/>
      <w:suff w:val="tab"/>
      <w:lvlText w:val="%1.%2.%3.%4.%5.%6.%7.%8."/>
      <w:lvlJc w:val="left"/>
      <w:pPr>
        <w:ind w:left="3969" w:hanging="0"/>
      </w:pPr>
      <w:rPr>
        <w:sz w:val="28"/>
      </w:rPr>
    </w:lvl>
    <w:lvl w:ilvl="8">
      <w:start w:val="1"/>
      <w:numFmt w:val="decimal"/>
      <w:suff w:val="tab"/>
      <w:lvlText w:val="%1.%2.%3.%4.%5.%6.%7.%8.%9."/>
      <w:lvlJc w:val="left"/>
      <w:pPr>
        <w:ind w:left="4536" w:hanging="0"/>
      </w:pPr>
      <w:rPr>
        <w:sz w:val="28"/>
      </w:rPr>
    </w:lvl>
  </w:abstractNum>
  <w:abstractNum w:abstractNumId="8">
    <w:multiLevelType w:val="hybridMultilevel"/>
    <w:name w:val="Нумерованный список 5"/>
    <w:lvl w:ilvl="0">
      <w:start w:val="1"/>
      <w:numFmt w:val="decimal"/>
      <w:suff w:val="tab"/>
      <w:lvlText w:val="%1."/>
      <w:lvlJc w:val="left"/>
      <w:pPr>
        <w:ind w:left="708" w:hanging="0"/>
      </w:pPr>
    </w:lvl>
    <w:lvl w:ilvl="1">
      <w:start w:val="1"/>
      <w:numFmt w:val="lowerLetter"/>
      <w:suff w:val="tab"/>
      <w:lvlText w:val="%2."/>
      <w:lvlJc w:val="left"/>
      <w:pPr>
        <w:ind w:left="1428" w:hanging="0"/>
      </w:pPr>
    </w:lvl>
    <w:lvl w:ilvl="2">
      <w:start w:val="1"/>
      <w:numFmt w:val="lowerRoman"/>
      <w:suff w:val="tab"/>
      <w:lvlText w:val="%3."/>
      <w:lvlJc w:val="right"/>
      <w:pPr>
        <w:ind w:left="2328" w:hanging="0"/>
      </w:pPr>
    </w:lvl>
    <w:lvl w:ilvl="3">
      <w:start w:val="1"/>
      <w:numFmt w:val="decimal"/>
      <w:suff w:val="tab"/>
      <w:lvlText w:val="%4."/>
      <w:lvlJc w:val="left"/>
      <w:pPr>
        <w:ind w:left="2868" w:hanging="0"/>
      </w:pPr>
    </w:lvl>
    <w:lvl w:ilvl="4">
      <w:start w:val="1"/>
      <w:numFmt w:val="lowerLetter"/>
      <w:suff w:val="tab"/>
      <w:lvlText w:val="%5."/>
      <w:lvlJc w:val="left"/>
      <w:pPr>
        <w:ind w:left="3588" w:hanging="0"/>
      </w:pPr>
    </w:lvl>
    <w:lvl w:ilvl="5">
      <w:start w:val="1"/>
      <w:numFmt w:val="lowerRoman"/>
      <w:suff w:val="tab"/>
      <w:lvlText w:val="%6."/>
      <w:lvlJc w:val="right"/>
      <w:pPr>
        <w:ind w:left="4488" w:hanging="0"/>
      </w:pPr>
    </w:lvl>
    <w:lvl w:ilvl="6">
      <w:start w:val="1"/>
      <w:numFmt w:val="decimal"/>
      <w:suff w:val="tab"/>
      <w:lvlText w:val="%7."/>
      <w:lvlJc w:val="left"/>
      <w:pPr>
        <w:ind w:left="5028" w:hanging="0"/>
      </w:pPr>
    </w:lvl>
    <w:lvl w:ilvl="7">
      <w:start w:val="1"/>
      <w:numFmt w:val="lowerLetter"/>
      <w:suff w:val="tab"/>
      <w:lvlText w:val="%8."/>
      <w:lvlJc w:val="left"/>
      <w:pPr>
        <w:ind w:left="5748" w:hanging="0"/>
      </w:pPr>
    </w:lvl>
    <w:lvl w:ilvl="8">
      <w:start w:val="1"/>
      <w:numFmt w:val="lowerRoman"/>
      <w:suff w:val="tab"/>
      <w:lvlText w:val="%9."/>
      <w:lvlJc w:val="right"/>
      <w:pPr>
        <w:ind w:left="6648" w:hanging="0"/>
      </w:pPr>
    </w:lvl>
  </w:abstractNum>
  <w:abstractNum w:abstractNumId="9">
    <w:multiLevelType w:val="hybridMultilevel"/>
    <w:name w:val="Нумерованный список 6"/>
    <w:lvl w:ilvl="0">
      <w:start w:val="0"/>
      <w:numFmt w:val="none"/>
      <w:suff w:val="tab"/>
      <w:lvlText w:val=""/>
      <w:lvlJc w:val="left"/>
      <w:pPr>
        <w:ind w:left="0" w:hanging="0"/>
      </w:pPr>
    </w:lvl>
    <w:lvl w:ilvl="1">
      <w:start w:val="0"/>
      <w:numFmt w:val="none"/>
      <w:suff w:val="tab"/>
      <w:lvlText w:val=""/>
      <w:lvlJc w:val="left"/>
      <w:pPr>
        <w:ind w:left="0" w:hanging="0"/>
      </w:pPr>
    </w:lvl>
    <w:lvl w:ilvl="2">
      <w:start w:val="0"/>
      <w:numFmt w:val="none"/>
      <w:suff w:val="tab"/>
      <w:lvlText w:val=""/>
      <w:lvlJc w:val="left"/>
      <w:pPr>
        <w:ind w:left="0" w:hanging="0"/>
      </w:pPr>
    </w:lvl>
    <w:lvl w:ilvl="3">
      <w:start w:val="0"/>
      <w:numFmt w:val="none"/>
      <w:suff w:val="tab"/>
      <w:lvlText w:val=""/>
      <w:lvlJc w:val="left"/>
      <w:pPr>
        <w:ind w:left="0" w:hanging="0"/>
      </w:pPr>
    </w:lvl>
    <w:lvl w:ilvl="4">
      <w:start w:val="0"/>
      <w:numFmt w:val="none"/>
      <w:suff w:val="tab"/>
      <w:lvlText w:val=""/>
      <w:lvlJc w:val="left"/>
      <w:pPr>
        <w:ind w:left="0" w:hanging="0"/>
      </w:pPr>
    </w:lvl>
    <w:lvl w:ilvl="5">
      <w:start w:val="0"/>
      <w:numFmt w:val="none"/>
      <w:suff w:val="tab"/>
      <w:lvlText w:val=""/>
      <w:lvlJc w:val="left"/>
      <w:pPr>
        <w:ind w:left="0" w:hanging="0"/>
      </w:pPr>
    </w:lvl>
    <w:lvl w:ilvl="6">
      <w:start w:val="0"/>
      <w:numFmt w:val="none"/>
      <w:suff w:val="tab"/>
      <w:lvlText w:val=""/>
      <w:lvlJc w:val="left"/>
      <w:pPr>
        <w:ind w:left="0" w:hanging="0"/>
      </w:pPr>
    </w:lvl>
    <w:lvl w:ilvl="7">
      <w:start w:val="0"/>
      <w:numFmt w:val="none"/>
      <w:suff w:val="tab"/>
      <w:lvlText w:val=""/>
      <w:lvlJc w:val="left"/>
      <w:pPr>
        <w:ind w:left="0" w:hanging="0"/>
      </w:pPr>
    </w:lvl>
    <w:lvl w:ilvl="8">
      <w:start w:val="0"/>
      <w:numFmt w:val="none"/>
      <w:suff w:val="tab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Таблица" w:pos="below" w:numFmt="decimal"/>
    <w:caption w:name="Рисунок" w:pos="below" w:numFmt="decimal"/>
    <w:caption w:name="Изображение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lowerRoman"/>
    <w:numStart w:val="1"/>
    <w:numRestart w:val="continuous"/>
  </w:endnotePr>
  <w:compat>
    <w:compatSetting w:name="compatibilityMode" w:uri="http://schemas.microsoft.com/office/word" w:val="15"/>
  </w:compat>
  <w:shapeDefaults>
    <o:shapedefaults v:ext="edit" spidmax="2049"/>
    <o:shapelayout v:ext="edit">
      <o:rules v:ext="edit"/>
    </o:shapelayout>
  </w:shapeDefaults>
  <w:tmPrefOne w:val="17"/>
  <w:tmPrefTwo w:val="1"/>
  <w:tmFmtPref w:val="55057515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15"/>
    <w:tmReviewMarkIns w:val="4"/>
    <w:tmReviewColorIns w:val="-1"/>
    <w:tmReviewMarkDel w:val="7"/>
    <w:tmReviewColorDel w:val="-1"/>
    <w:tmReviewMarkFmt w:val="7"/>
    <w:tmReviewColorFmt w:val="-1"/>
    <w:tmReviewMarkLn w:val="1"/>
    <w:tmReviewColorLn w:val="0"/>
    <w:tmReviewToolTip w:val="1"/>
  </w:tmReviewPr>
  <w:tmLastPos>
    <w:tmLastPosPage w:val="1"/>
    <w:tmLastPosSelect w:val="0"/>
    <w:tmLastPosFrameIdx w:val="0"/>
    <w:tmLastPosCaret>
      <w:tmLastPosPgfIdx w:val="17"/>
      <w:tmLastPosIdx w:val="27"/>
    </w:tmLastPosCaret>
    <w:tmLastPosAnchor>
      <w:tmLastPosPgfIdx w:val="0"/>
      <w:tmLastPosIdx w:val="0"/>
    </w:tmLastPosAnchor>
    <w:tmLastPosTblRect w:left="0" w:top="0" w:right="0" w:bottom="0"/>
  </w:tmLastPos>
  <w:tmAppRevision w:date="1787120411" w:val="1222" w:fileVer="342" w:fileVer64="64" w:fileVerOS="3"/>
  <w:guidesAndGrid showGuides="1" lockGuides="0" snapToGuides="1" snapToPageMargins="0" tolerance="8" gridDistanceHorizontal="283" gridDistanceVertical="283" showGrid="0" snapToGrid="0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eastAsia="zh-cn"/>
    </w:rPr>
  </w:style>
  <w:style w:type="paragraph" w:styleId="para1">
    <w:name w:val="heading 1"/>
    <w:qFormat/>
    <w:basedOn w:val="para0"/>
    <w:next w:val="para0"/>
    <w:pPr>
      <w:numPr>
        <w:ilvl w:val="0"/>
        <w:numId w:val="6"/>
      </w:numPr>
      <w:ind w:left="0" w:firstLine="0"/>
      <w:spacing/>
      <w:jc w:val="center"/>
      <w:keepNext/>
      <w:outlineLvl w:val="0"/>
    </w:pPr>
    <w:rPr>
      <w:b/>
      <w:sz w:val="28"/>
    </w:rPr>
  </w:style>
  <w:style w:type="paragraph" w:styleId="para2">
    <w:name w:val="heading 2"/>
    <w:qFormat/>
    <w:basedOn w:val="para0"/>
    <w:next w:val="para0"/>
    <w:pPr>
      <w:numPr>
        <w:ilvl w:val="1"/>
        <w:numId w:val="6"/>
      </w:numPr>
      <w:ind w:left="0" w:firstLine="0"/>
      <w:spacing/>
      <w:jc w:val="center"/>
      <w:keepNext/>
      <w:outlineLvl w:val="1"/>
    </w:pPr>
    <w:rPr>
      <w:b/>
      <w:spacing w:val="40" w:percent="117"/>
      <w:sz w:val="48"/>
    </w:rPr>
  </w:style>
  <w:style w:type="paragraph" w:styleId="para3" w:customStyle="1">
    <w:name w:val="Заголовок1"/>
    <w:qFormat/>
    <w:basedOn w:val="para0"/>
    <w:next w:val="para4"/>
    <w:pPr>
      <w:spacing w:before="240" w:after="120"/>
      <w:keepNext/>
    </w:pPr>
    <w:rPr>
      <w:rFonts w:ascii="PT Astra Serif" w:hAnsi="PT Astra Serif" w:eastAsia="Tahoma" w:cs="Noto Sans Devanagari"/>
      <w:sz w:val="28"/>
      <w:szCs w:val="28"/>
    </w:rPr>
  </w:style>
  <w:style w:type="paragraph" w:styleId="para4">
    <w:name w:val="Body Text"/>
    <w:qFormat/>
    <w:basedOn w:val="para0"/>
    <w:pPr>
      <w:spacing w:after="140" w:line="276" w:lineRule="auto"/>
    </w:pPr>
  </w:style>
  <w:style w:type="paragraph" w:styleId="para5">
    <w:name w:val="List"/>
    <w:qFormat/>
    <w:basedOn w:val="para4"/>
    <w:rPr>
      <w:rFonts w:ascii="PT Astra Serif" w:hAnsi="PT Astra Serif" w:cs="Noto Sans Devanagari"/>
    </w:rPr>
  </w:style>
  <w:style w:type="paragraph" w:styleId="para6">
    <w:name w:val="caption"/>
    <w:qFormat/>
    <w:basedOn w:val="para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para7" w:customStyle="1">
    <w:name w:val="Указатель1"/>
    <w:qFormat/>
    <w:basedOn w:val="para0"/>
    <w:pPr>
      <w:suppressLineNumbers/>
    </w:pPr>
    <w:rPr>
      <w:rFonts w:ascii="PT Astra Serif" w:hAnsi="PT Astra Serif" w:cs="Noto Sans Devanagari"/>
    </w:rPr>
  </w:style>
  <w:style w:type="paragraph" w:styleId="para8" w:customStyle="1">
    <w:name w:val="Caption1"/>
    <w:qFormat/>
    <w:basedOn w:val="para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para9" w:customStyle="1">
    <w:name w:val="Caption11"/>
    <w:qFormat/>
    <w:basedOn w:val="para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para10" w:customStyle="1">
    <w:name w:val="juscontextcxspmiddle"/>
    <w:qFormat/>
    <w:basedOn w:val="para0"/>
    <w:pPr>
      <w:spacing w:before="280" w:after="280"/>
    </w:pPr>
    <w:rPr>
      <w:sz w:val="24"/>
      <w:szCs w:val="24"/>
    </w:rPr>
  </w:style>
  <w:style w:type="paragraph" w:styleId="para11" w:customStyle="1">
    <w:name w:val="Знак Знак Знак Знак"/>
    <w:qFormat/>
    <w:basedOn w:val="para0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styleId="para12" w:customStyle="1">
    <w:name w:val="Char Char"/>
    <w:qFormat/>
    <w:basedOn w:val="para0"/>
    <w:pPr>
      <w:spacing w:after="160" w:line="240" w:lineRule="exact"/>
    </w:pPr>
    <w:rPr>
      <w:rFonts w:ascii="Verdana" w:hAnsi="Verdana" w:cs="Verdana"/>
      <w:lang w:val="en-us"/>
    </w:rPr>
  </w:style>
  <w:style w:type="paragraph" w:styleId="para13" w:customStyle="1">
    <w:name w:val="xl6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14" w:customStyle="1">
    <w:name w:val="xl70"/>
    <w:qFormat/>
    <w:basedOn w:val="para0"/>
    <w:pPr>
      <w:spacing w:before="280" w:after="280"/>
    </w:pPr>
    <w:rPr>
      <w:sz w:val="24"/>
      <w:szCs w:val="24"/>
    </w:rPr>
  </w:style>
  <w:style w:type="paragraph" w:styleId="para15" w:customStyle="1">
    <w:name w:val="xl7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16" w:customStyle="1">
    <w:name w:val="xl72"/>
    <w:qFormat/>
    <w:basedOn w:val="para0"/>
    <w:pPr>
      <w:spacing w:before="280" w:after="280"/>
    </w:pPr>
    <w:rPr>
      <w:sz w:val="24"/>
      <w:szCs w:val="24"/>
    </w:rPr>
  </w:style>
  <w:style w:type="paragraph" w:styleId="para17" w:customStyle="1">
    <w:name w:val="xl73"/>
    <w:qFormat/>
    <w:basedOn w:val="para0"/>
    <w:pPr>
      <w:spacing w:before="280" w:after="280"/>
      <w:jc w:val="center"/>
    </w:pPr>
    <w:rPr>
      <w:sz w:val="24"/>
      <w:szCs w:val="24"/>
    </w:rPr>
  </w:style>
  <w:style w:type="paragraph" w:styleId="para18" w:customStyle="1">
    <w:name w:val="xl74"/>
    <w:qFormat/>
    <w:basedOn w:val="para0"/>
    <w:pPr>
      <w:spacing w:before="280" w:after="280"/>
      <w:jc w:val="center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  <w:rPr>
      <w:sz w:val="24"/>
      <w:szCs w:val="24"/>
    </w:rPr>
  </w:style>
  <w:style w:type="paragraph" w:styleId="para19" w:customStyle="1">
    <w:name w:val="xl75"/>
    <w:qFormat/>
    <w:basedOn w:val="para0"/>
    <w:pPr>
      <w:spacing w:before="280" w:after="280"/>
    </w:pPr>
  </w:style>
  <w:style w:type="paragraph" w:styleId="para20" w:customStyle="1">
    <w:name w:val="xl7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21" w:customStyle="1">
    <w:name w:val="xl77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22" w:customStyle="1">
    <w:name w:val="xl7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23" w:customStyle="1">
    <w:name w:val="xl7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8"/>
      <w:szCs w:val="28"/>
    </w:rPr>
  </w:style>
  <w:style w:type="paragraph" w:styleId="para24" w:customStyle="1">
    <w:name w:val="xl80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25" w:customStyle="1">
    <w:name w:val="xl81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26" w:customStyle="1">
    <w:name w:val="xl8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27" w:customStyle="1">
    <w:name w:val="xl83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28" w:customStyle="1">
    <w:name w:val="xl8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29" w:customStyle="1">
    <w:name w:val="xl85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0" w:customStyle="1">
    <w:name w:val="xl8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1" w:customStyle="1">
    <w:name w:val="xl87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2" w:customStyle="1">
    <w:name w:val="xl8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3" w:customStyle="1">
    <w:name w:val="xl8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34" w:customStyle="1">
    <w:name w:val="xl90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35" w:customStyle="1">
    <w:name w:val="xl9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6" w:customStyle="1">
    <w:name w:val="xl9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7" w:customStyle="1">
    <w:name w:val="xl93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8" w:customStyle="1">
    <w:name w:val="xl9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39" w:customStyle="1">
    <w:name w:val="xl95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40" w:customStyle="1">
    <w:name w:val="xl9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41" w:customStyle="1">
    <w:name w:val="xl97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color w:val="000000"/>
      <w:sz w:val="24"/>
      <w:szCs w:val="24"/>
    </w:rPr>
  </w:style>
  <w:style w:type="paragraph" w:styleId="para42" w:customStyle="1">
    <w:name w:val="xl98"/>
    <w:qFormat/>
    <w:basedOn w:val="para0"/>
    <w:pPr>
      <w:spacing w:before="280" w:after="280"/>
      <w:jc w:val="center"/>
      <w:pBdr>
        <w:top w:val="nil" w:sz="0" w:space="3" w:color="000000" tmln="20, 20, 20, 0, 6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color w:val="000000"/>
      <w:sz w:val="24"/>
      <w:szCs w:val="24"/>
    </w:rPr>
  </w:style>
  <w:style w:type="paragraph" w:styleId="para43" w:customStyle="1">
    <w:name w:val="xl9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nil" w:sz="0" w:space="3" w:color="000000" tmln="20, 20, 20, 0, 6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44" w:customStyle="1">
    <w:name w:val="xl100"/>
    <w:qFormat/>
    <w:basedOn w:val="para0"/>
    <w:pPr>
      <w:spacing w:before="280" w:after="280"/>
      <w:jc w:val="center"/>
      <w:pBdr>
        <w:top w:val="nil" w:sz="0" w:space="3" w:color="000000" tmln="20, 20, 20, 0, 6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45" w:customStyle="1">
    <w:name w:val="xl10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46" w:customStyle="1">
    <w:name w:val="xl102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47" w:customStyle="1">
    <w:name w:val="xl103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48" w:customStyle="1">
    <w:name w:val="xl10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49" w:customStyle="1">
    <w:name w:val="xl105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50" w:customStyle="1">
    <w:name w:val="xl10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51" w:customStyle="1">
    <w:name w:val="xl107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52" w:customStyle="1">
    <w:name w:val="xl10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nil" w:sz="0" w:space="3" w:color="000000" tmln="20, 20, 20, 0, 60"/>
        <w:right w:val="single" w:sz="4" w:space="0" w:color="000000" tmln="10, 20, 20, 0, 0"/>
        <w:between w:val="nil" w:sz="0" w:space="0" w:color="000000" tmln="20, 20, 20, 0, 0"/>
      </w:pBdr>
      <w:shd w:val="none"/>
    </w:pPr>
    <w:rPr>
      <w:color w:val="000000"/>
      <w:sz w:val="24"/>
      <w:szCs w:val="24"/>
    </w:rPr>
  </w:style>
  <w:style w:type="paragraph" w:styleId="para53" w:customStyle="1">
    <w:name w:val="xl109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color w:val="000000"/>
      <w:sz w:val="24"/>
      <w:szCs w:val="24"/>
    </w:rPr>
  </w:style>
  <w:style w:type="paragraph" w:styleId="para54" w:customStyle="1">
    <w:name w:val="xl110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4"/>
      <w:szCs w:val="24"/>
    </w:rPr>
  </w:style>
  <w:style w:type="paragraph" w:styleId="para55" w:customStyle="1">
    <w:name w:val="xl111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color w:val="000000"/>
      <w:sz w:val="24"/>
      <w:szCs w:val="24"/>
    </w:rPr>
  </w:style>
  <w:style w:type="paragraph" w:styleId="para56" w:customStyle="1">
    <w:name w:val="xl112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4"/>
      <w:szCs w:val="24"/>
    </w:rPr>
  </w:style>
  <w:style w:type="paragraph" w:styleId="para57" w:customStyle="1">
    <w:name w:val="xl113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2CC" tmshd="6553856, 13431551, 16777215"/>
    </w:pPr>
    <w:rPr>
      <w:color w:val="000000"/>
      <w:sz w:val="24"/>
      <w:szCs w:val="24"/>
    </w:rPr>
  </w:style>
  <w:style w:type="paragraph" w:styleId="para58" w:customStyle="1">
    <w:name w:val="xl11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color w:val="000000"/>
      <w:sz w:val="24"/>
      <w:szCs w:val="24"/>
    </w:rPr>
  </w:style>
  <w:style w:type="paragraph" w:styleId="para59" w:customStyle="1">
    <w:name w:val="xl115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E2EFDA" tmshd="6553856, 14348258, 16777215"/>
    </w:pPr>
    <w:rPr>
      <w:color w:val="000000"/>
      <w:sz w:val="24"/>
      <w:szCs w:val="24"/>
    </w:rPr>
  </w:style>
  <w:style w:type="paragraph" w:styleId="para60" w:customStyle="1">
    <w:name w:val="xl11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color w:val="000000"/>
      <w:sz w:val="24"/>
      <w:szCs w:val="24"/>
    </w:rPr>
  </w:style>
  <w:style w:type="paragraph" w:styleId="para61" w:customStyle="1">
    <w:name w:val="xl117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62" w:customStyle="1">
    <w:name w:val="xl11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BDD7EE" tmshd="6553856, 15652797, 16777215"/>
    </w:pPr>
    <w:rPr>
      <w:color w:val="000000"/>
      <w:sz w:val="24"/>
      <w:szCs w:val="24"/>
    </w:rPr>
  </w:style>
  <w:style w:type="paragraph" w:styleId="para63" w:customStyle="1">
    <w:name w:val="xl11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64" w:customStyle="1">
    <w:name w:val="xl120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65" w:customStyle="1">
    <w:name w:val="xl12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color w:val="000000"/>
      <w:sz w:val="24"/>
      <w:szCs w:val="24"/>
    </w:rPr>
  </w:style>
  <w:style w:type="paragraph" w:styleId="para66" w:customStyle="1">
    <w:name w:val="xl12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E2EFDA" tmshd="6553856, 14348258, 16777215"/>
    </w:pPr>
    <w:rPr>
      <w:color w:val="000000"/>
      <w:sz w:val="24"/>
      <w:szCs w:val="24"/>
    </w:rPr>
  </w:style>
  <w:style w:type="paragraph" w:styleId="para67" w:customStyle="1">
    <w:name w:val="xl123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68" w:customStyle="1">
    <w:name w:val="xl12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69" w:customStyle="1">
    <w:name w:val="xl125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0" w:customStyle="1">
    <w:name w:val="xl12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1" w:customStyle="1">
    <w:name w:val="xl127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4"/>
      <w:szCs w:val="24"/>
    </w:rPr>
  </w:style>
  <w:style w:type="paragraph" w:styleId="para72" w:customStyle="1">
    <w:name w:val="xl12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4"/>
      <w:szCs w:val="24"/>
    </w:rPr>
  </w:style>
  <w:style w:type="paragraph" w:styleId="para73" w:customStyle="1">
    <w:name w:val="xl12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4"/>
      <w:szCs w:val="24"/>
    </w:rPr>
  </w:style>
  <w:style w:type="paragraph" w:styleId="para74" w:customStyle="1">
    <w:name w:val="xl130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4"/>
      <w:szCs w:val="24"/>
    </w:rPr>
  </w:style>
  <w:style w:type="paragraph" w:styleId="para75" w:customStyle="1">
    <w:name w:val="xl13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6" w:customStyle="1">
    <w:name w:val="xl13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7" w:customStyle="1">
    <w:name w:val="xl133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8" w:customStyle="1">
    <w:name w:val="xl134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nil" w:sz="0" w:space="3" w:color="000000" tmln="20, 20, 20, 0, 6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9" w:customStyle="1">
    <w:name w:val="xl135"/>
    <w:qFormat/>
    <w:basedOn w:val="para0"/>
    <w:pPr>
      <w:spacing w:before="280" w:after="280"/>
      <w:jc w:val="center"/>
      <w:pBdr>
        <w:top w:val="nil" w:sz="0" w:space="3" w:color="000000" tmln="20, 20, 20, 0, 6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0" w:customStyle="1">
    <w:name w:val="xl136"/>
    <w:qFormat/>
    <w:basedOn w:val="para0"/>
    <w:pPr>
      <w:spacing w:before="280" w:after="280"/>
      <w:jc w:val="center"/>
      <w:pBdr>
        <w:top w:val="nil" w:sz="0" w:space="3" w:color="000000" tmln="20, 20, 20, 0, 6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1" w:customStyle="1">
    <w:name w:val="xl137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2" w:customStyle="1">
    <w:name w:val="xl13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3" w:customStyle="1">
    <w:name w:val="xl13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4" w:customStyle="1">
    <w:name w:val="xl140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5" w:customStyle="1">
    <w:name w:val="xl14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6" w:customStyle="1">
    <w:name w:val="xl14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7" w:customStyle="1">
    <w:name w:val="xl143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nil" w:sz="0" w:space="3" w:color="000000" tmln="20, 20, 20, 0, 6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8" w:customStyle="1">
    <w:name w:val="xl144"/>
    <w:qFormat/>
    <w:basedOn w:val="para0"/>
    <w:pPr>
      <w:spacing w:before="280" w:after="280"/>
      <w:jc w:val="center"/>
      <w:pBdr>
        <w:top w:val="nil" w:sz="0" w:space="3" w:color="000000" tmln="20, 20, 20, 0, 6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9" w:customStyle="1">
    <w:name w:val="xl145"/>
    <w:qFormat/>
    <w:basedOn w:val="para0"/>
    <w:pPr>
      <w:spacing w:before="280" w:after="280"/>
      <w:jc w:val="center"/>
      <w:pBdr>
        <w:top w:val="nil" w:sz="0" w:space="3" w:color="000000" tmln="20, 20, 20, 0, 6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0" w:customStyle="1">
    <w:name w:val="xl14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1" w:customStyle="1">
    <w:name w:val="xl147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2" w:customStyle="1">
    <w:name w:val="xl148"/>
    <w:qFormat/>
    <w:basedOn w:val="para0"/>
    <w:pPr>
      <w:spacing w:before="280" w:after="280"/>
      <w:jc w:val="center"/>
      <w:pBdr>
        <w:top w:val="nil" w:sz="0" w:space="3" w:color="000000" tmln="20, 20, 20, 0, 60"/>
        <w:left w:val="nil" w:sz="0" w:space="3" w:color="000000" tmln="20, 20, 20, 0, 6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3" w:customStyle="1">
    <w:name w:val="xl149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color w:val="000000"/>
      <w:sz w:val="24"/>
      <w:szCs w:val="24"/>
    </w:rPr>
  </w:style>
  <w:style w:type="paragraph" w:styleId="para94" w:customStyle="1">
    <w:name w:val="xl150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24"/>
      <w:szCs w:val="24"/>
    </w:rPr>
  </w:style>
  <w:style w:type="paragraph" w:styleId="para95" w:customStyle="1">
    <w:name w:val="xl151"/>
    <w:qFormat/>
    <w:basedOn w:val="para0"/>
    <w:pPr>
      <w:spacing w:before="280" w:after="280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6" w:customStyle="1">
    <w:name w:val="xl15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7" w:customStyle="1">
    <w:name w:val="xl153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8" w:customStyle="1">
    <w:name w:val="xl15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9" w:customStyle="1">
    <w:name w:val="xl155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nil" w:sz="0" w:space="3" w:color="000000" tmln="20, 20, 20, 0, 6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100" w:customStyle="1">
    <w:name w:val="xl156"/>
    <w:qFormat/>
    <w:basedOn w:val="para0"/>
    <w:pPr>
      <w:spacing w:before="280" w:after="280"/>
      <w:jc w:val="center"/>
      <w:pBdr>
        <w:top w:val="nil" w:sz="0" w:space="3" w:color="000000" tmln="20, 20, 20, 0, 6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101" w:customStyle="1">
    <w:name w:val="xl157"/>
    <w:qFormat/>
    <w:basedOn w:val="para0"/>
    <w:pPr>
      <w:spacing w:before="280" w:after="280"/>
      <w:jc w:val="center"/>
      <w:pBdr>
        <w:top w:val="nil" w:sz="0" w:space="3" w:color="000000" tmln="20, 20, 20, 0, 6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102" w:customStyle="1">
    <w:name w:val="Содержимое таблицы"/>
    <w:qFormat/>
    <w:basedOn w:val="para0"/>
    <w:pPr>
      <w:suppressLineNumbers/>
      <w:widowControl w:val="0"/>
    </w:pPr>
  </w:style>
  <w:style w:type="paragraph" w:styleId="para103" w:customStyle="1">
    <w:name w:val="Заголовок таблицы"/>
    <w:qFormat/>
    <w:basedOn w:val="para102"/>
    <w:pPr>
      <w:spacing/>
      <w:jc w:val="center"/>
    </w:pPr>
    <w:rPr>
      <w:b/>
      <w:bCs/>
    </w:rPr>
  </w:style>
  <w:style w:type="paragraph" w:styleId="para104">
    <w:name w:val="Normal (Web)"/>
    <w:qFormat/>
    <w:basedOn w:val="para0"/>
    <w:pPr>
      <w:spacing w:after="225"/>
    </w:pPr>
    <w:rPr>
      <w:sz w:val="24"/>
      <w:szCs w:val="24"/>
    </w:rPr>
  </w:style>
  <w:style w:type="paragraph" w:styleId="para105" w:customStyle="1">
    <w:name w:val="Название объекта1"/>
    <w:qFormat/>
    <w:basedOn w:val="para0"/>
    <w:next w:val="para0"/>
    <w:pPr>
      <w:spacing w:before="120"/>
      <w:jc w:val="both"/>
      <w:keepNext/>
    </w:pPr>
    <w:rPr>
      <w:b/>
      <w:bCs/>
      <w:sz w:val="24"/>
      <w:szCs w:val="24"/>
    </w:rPr>
  </w:style>
  <w:style w:type="paragraph" w:styleId="para106">
    <w:name w:val="Footer"/>
    <w:qFormat/>
    <w:basedOn w:val="para0"/>
    <w:pPr>
      <w:tabs defTabSz="708"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para107" w:customStyle="1">
    <w:name w:val="Основной текст с отступом 31"/>
    <w:qFormat/>
    <w:basedOn w:val="para0"/>
    <w:pPr>
      <w:ind w:firstLine="567"/>
      <w:spacing/>
      <w:jc w:val="both"/>
      <w:widowControl w:val="0"/>
      <w:tabs defTabSz="708">
        <w:tab w:val="left" w:pos="499" w:leader="none"/>
        <w:tab w:val="left" w:pos="8884" w:leader="none"/>
      </w:tabs>
    </w:pPr>
    <w:rPr>
      <w:sz w:val="28"/>
      <w:szCs w:val="24"/>
    </w:rPr>
  </w:style>
  <w:style w:type="paragraph" w:styleId="para108" w:customStyle="1">
    <w:name w:val="Основной текст2"/>
    <w:qFormat/>
    <w:basedOn w:val="para0"/>
    <w:pPr>
      <w:spacing w:after="300" w:line="326" w:lineRule="exact"/>
      <w:jc w:val="center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  <w:rPr>
      <w:sz w:val="26"/>
      <w:szCs w:val="26"/>
      <w:lang w:eastAsia="ru-ru"/>
    </w:rPr>
  </w:style>
  <w:style w:type="paragraph" w:styleId="para109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10">
    <w:name w:val="List Paragraph"/>
    <w:qFormat/>
    <w:basedOn w:val="para0"/>
    <w:pPr>
      <w:ind w:left="720"/>
      <w:spacing w:after="200" w:line="276" w:lineRule="auto"/>
      <w:contextualSpacing/>
    </w:pPr>
    <w:rPr>
      <w:rFonts w:ascii="Calibri" w:hAnsi="Calibri" w:eastAsia="Calibri" w:cs="Calibri"/>
      <w:sz w:val="22"/>
      <w:szCs w:val="22"/>
      <w:lang w:eastAsia="ru-ru"/>
    </w:rPr>
  </w:style>
  <w:style w:type="paragraph" w:styleId="para111" w:customStyle="1">
    <w:name w:val="ConsPlusNormal"/>
    <w:qFormat/>
    <w:pPr>
      <w:hyphenationLines w:val="1"/>
      <w:widowControl w:val="0"/>
    </w:pPr>
    <w:rPr>
      <w:rFonts w:ascii="Calibri" w:hAnsi="Calibri" w:eastAsia="Times New Roman" w:cs="Calibri"/>
      <w:sz w:val="22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WW8Num1z0"/>
  </w:style>
  <w:style w:type="character" w:styleId="char2" w:customStyle="1">
    <w:name w:val="Основной шрифт абзаца1"/>
  </w:style>
  <w:style w:type="character" w:styleId="char3">
    <w:name w:val="Hyperlink"/>
    <w:rPr>
      <w:color w:val="0563c1"/>
      <w:u w:color="auto" w:val="single"/>
    </w:rPr>
  </w:style>
  <w:style w:type="character" w:styleId="char4">
    <w:name w:val="FollowedHyperlink"/>
    <w:rPr>
      <w:color w:val="954f72"/>
      <w:u w:color="auto" w:val="single"/>
    </w:rPr>
  </w:style>
  <w:style w:type="character" w:styleId="char5" w:customStyle="1">
    <w:name w:val="WW8Num6z0"/>
    <w:rPr>
      <w:rFonts w:ascii="Symbol" w:hAnsi="Symbol" w:cs="Symbol"/>
    </w:rPr>
  </w:style>
  <w:style w:type="character" w:styleId="char6" w:customStyle="1">
    <w:name w:val="WW8Num6z1"/>
    <w:rPr>
      <w:rFonts w:ascii="Courier New" w:hAnsi="Courier New" w:cs="Courier New"/>
    </w:rPr>
  </w:style>
  <w:style w:type="character" w:styleId="char7" w:customStyle="1">
    <w:name w:val="WW8Num6z2"/>
    <w:rPr>
      <w:rFonts w:ascii="Wingdings" w:hAnsi="Wingdings" w:cs="Wingdings"/>
    </w:rPr>
  </w:style>
  <w:style w:type="character" w:styleId="char8" w:customStyle="1">
    <w:name w:val="WW8Num7z0"/>
    <w:rPr>
      <w:sz w:val="28"/>
    </w:rPr>
  </w:style>
  <w:style w:type="character" w:styleId="char9" w:customStyle="1">
    <w:name w:val="WW8Num20z0"/>
  </w:style>
  <w:style w:type="character" w:styleId="char10" w:customStyle="1">
    <w:name w:val="Текст выноски Знак"/>
    <w:rPr>
      <w:rFonts w:ascii="Segoe UI" w:hAnsi="Segoe UI" w:cs="Segoe UI"/>
      <w:sz w:val="18"/>
      <w:szCs w:val="18"/>
      <w:lang w:eastAsia="zh-cn"/>
    </w:rPr>
  </w:style>
  <w:style w:type="character" w:styleId="char11" w:customStyle="1">
    <w:name w:val="Абзац списка Знак"/>
    <w:rPr>
      <w:rFonts w:ascii="Calibri" w:hAnsi="Calibri" w:eastAsia="Calibri" w:cs="Calibri"/>
      <w:sz w:val="22"/>
      <w:szCs w:val="22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widowControl w:val="0"/>
    </w:pPr>
    <w:rPr>
      <w:rFonts w:ascii="Tahoma" w:hAnsi="Tahoma" w:eastAsia="Tahoma" w:cs="Tahoma"/>
      <w:sz w:val="24"/>
      <w:szCs w:val="24"/>
      <w:lang w:val="en-us" w:bidi="en-us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5="http://schemas.microsoft.com/office/word/2012/wordml" mc:Ignorable="w14 wp14 w15">
  <w:docDefaults>
    <w:rPrDefault>
      <w:rPr>
        <w:rFonts w:ascii="Times New Roman" w:hAnsi="Times New Roman" w:eastAsia="Times New Roman" w:cs="Times New Roman"/>
        <w:sz w:val="20"/>
        <w:szCs w:val="20"/>
        <w:lang w:val="ru-ru" w:eastAsia="ru-ru" w:bidi="ar-sa"/>
      </w:rPr>
    </w:rPrDefault>
    <w:pPrDefault>
      <w:pPr>
        <w:suppressAutoHyphens/>
        <w:hyphenationLines w:val="0"/>
      </w:pPr>
    </w:pPrDefault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lang w:eastAsia="zh-cn"/>
    </w:rPr>
  </w:style>
  <w:style w:type="paragraph" w:styleId="para1">
    <w:name w:val="heading 1"/>
    <w:qFormat/>
    <w:basedOn w:val="para0"/>
    <w:next w:val="para0"/>
    <w:pPr>
      <w:numPr>
        <w:ilvl w:val="0"/>
        <w:numId w:val="6"/>
      </w:numPr>
      <w:ind w:left="0" w:firstLine="0"/>
      <w:spacing/>
      <w:jc w:val="center"/>
      <w:keepNext/>
      <w:outlineLvl w:val="0"/>
    </w:pPr>
    <w:rPr>
      <w:b/>
      <w:sz w:val="28"/>
    </w:rPr>
  </w:style>
  <w:style w:type="paragraph" w:styleId="para2">
    <w:name w:val="heading 2"/>
    <w:qFormat/>
    <w:basedOn w:val="para0"/>
    <w:next w:val="para0"/>
    <w:pPr>
      <w:numPr>
        <w:ilvl w:val="1"/>
        <w:numId w:val="6"/>
      </w:numPr>
      <w:ind w:left="0" w:firstLine="0"/>
      <w:spacing/>
      <w:jc w:val="center"/>
      <w:keepNext/>
      <w:outlineLvl w:val="1"/>
    </w:pPr>
    <w:rPr>
      <w:b/>
      <w:spacing w:val="40" w:percent="117"/>
      <w:sz w:val="48"/>
    </w:rPr>
  </w:style>
  <w:style w:type="paragraph" w:styleId="para3" w:customStyle="1">
    <w:name w:val="Заголовок1"/>
    <w:qFormat/>
    <w:basedOn w:val="para0"/>
    <w:next w:val="para4"/>
    <w:pPr>
      <w:spacing w:before="240" w:after="120"/>
      <w:keepNext/>
    </w:pPr>
    <w:rPr>
      <w:rFonts w:ascii="PT Astra Serif" w:hAnsi="PT Astra Serif" w:eastAsia="Tahoma" w:cs="Noto Sans Devanagari"/>
      <w:sz w:val="28"/>
      <w:szCs w:val="28"/>
    </w:rPr>
  </w:style>
  <w:style w:type="paragraph" w:styleId="para4">
    <w:name w:val="Body Text"/>
    <w:qFormat/>
    <w:basedOn w:val="para0"/>
    <w:pPr>
      <w:spacing w:after="140" w:line="276" w:lineRule="auto"/>
    </w:pPr>
  </w:style>
  <w:style w:type="paragraph" w:styleId="para5">
    <w:name w:val="List"/>
    <w:qFormat/>
    <w:basedOn w:val="para4"/>
    <w:rPr>
      <w:rFonts w:ascii="PT Astra Serif" w:hAnsi="PT Astra Serif" w:cs="Noto Sans Devanagari"/>
    </w:rPr>
  </w:style>
  <w:style w:type="paragraph" w:styleId="para6">
    <w:name w:val="caption"/>
    <w:qFormat/>
    <w:basedOn w:val="para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para7" w:customStyle="1">
    <w:name w:val="Указатель1"/>
    <w:qFormat/>
    <w:basedOn w:val="para0"/>
    <w:pPr>
      <w:suppressLineNumbers/>
    </w:pPr>
    <w:rPr>
      <w:rFonts w:ascii="PT Astra Serif" w:hAnsi="PT Astra Serif" w:cs="Noto Sans Devanagari"/>
    </w:rPr>
  </w:style>
  <w:style w:type="paragraph" w:styleId="para8" w:customStyle="1">
    <w:name w:val="Caption1"/>
    <w:qFormat/>
    <w:basedOn w:val="para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para9" w:customStyle="1">
    <w:name w:val="Caption11"/>
    <w:qFormat/>
    <w:basedOn w:val="para0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para10" w:customStyle="1">
    <w:name w:val="juscontextcxspmiddle"/>
    <w:qFormat/>
    <w:basedOn w:val="para0"/>
    <w:pPr>
      <w:spacing w:before="280" w:after="280"/>
    </w:pPr>
    <w:rPr>
      <w:sz w:val="24"/>
      <w:szCs w:val="24"/>
    </w:rPr>
  </w:style>
  <w:style w:type="paragraph" w:styleId="para11" w:customStyle="1">
    <w:name w:val="Знак Знак Знак Знак"/>
    <w:qFormat/>
    <w:basedOn w:val="para0"/>
    <w:pPr>
      <w:spacing w:after="160" w:line="240" w:lineRule="exact"/>
    </w:pPr>
    <w:rPr>
      <w:rFonts w:ascii="Verdana" w:hAnsi="Verdana" w:cs="Verdana"/>
      <w:sz w:val="24"/>
      <w:szCs w:val="24"/>
      <w:lang w:val="en-us"/>
    </w:rPr>
  </w:style>
  <w:style w:type="paragraph" w:styleId="para12" w:customStyle="1">
    <w:name w:val="Char Char"/>
    <w:qFormat/>
    <w:basedOn w:val="para0"/>
    <w:pPr>
      <w:spacing w:after="160" w:line="240" w:lineRule="exact"/>
    </w:pPr>
    <w:rPr>
      <w:rFonts w:ascii="Verdana" w:hAnsi="Verdana" w:cs="Verdana"/>
      <w:lang w:val="en-us"/>
    </w:rPr>
  </w:style>
  <w:style w:type="paragraph" w:styleId="para13" w:customStyle="1">
    <w:name w:val="xl6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14" w:customStyle="1">
    <w:name w:val="xl70"/>
    <w:qFormat/>
    <w:basedOn w:val="para0"/>
    <w:pPr>
      <w:spacing w:before="280" w:after="280"/>
    </w:pPr>
    <w:rPr>
      <w:sz w:val="24"/>
      <w:szCs w:val="24"/>
    </w:rPr>
  </w:style>
  <w:style w:type="paragraph" w:styleId="para15" w:customStyle="1">
    <w:name w:val="xl7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16" w:customStyle="1">
    <w:name w:val="xl72"/>
    <w:qFormat/>
    <w:basedOn w:val="para0"/>
    <w:pPr>
      <w:spacing w:before="280" w:after="280"/>
    </w:pPr>
    <w:rPr>
      <w:sz w:val="24"/>
      <w:szCs w:val="24"/>
    </w:rPr>
  </w:style>
  <w:style w:type="paragraph" w:styleId="para17" w:customStyle="1">
    <w:name w:val="xl73"/>
    <w:qFormat/>
    <w:basedOn w:val="para0"/>
    <w:pPr>
      <w:spacing w:before="280" w:after="280"/>
      <w:jc w:val="center"/>
    </w:pPr>
    <w:rPr>
      <w:sz w:val="24"/>
      <w:szCs w:val="24"/>
    </w:rPr>
  </w:style>
  <w:style w:type="paragraph" w:styleId="para18" w:customStyle="1">
    <w:name w:val="xl74"/>
    <w:qFormat/>
    <w:basedOn w:val="para0"/>
    <w:pPr>
      <w:spacing w:before="280" w:after="280"/>
      <w:jc w:val="center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  <w:rPr>
      <w:sz w:val="24"/>
      <w:szCs w:val="24"/>
    </w:rPr>
  </w:style>
  <w:style w:type="paragraph" w:styleId="para19" w:customStyle="1">
    <w:name w:val="xl75"/>
    <w:qFormat/>
    <w:basedOn w:val="para0"/>
    <w:pPr>
      <w:spacing w:before="280" w:after="280"/>
    </w:pPr>
  </w:style>
  <w:style w:type="paragraph" w:styleId="para20" w:customStyle="1">
    <w:name w:val="xl7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21" w:customStyle="1">
    <w:name w:val="xl77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22" w:customStyle="1">
    <w:name w:val="xl7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23" w:customStyle="1">
    <w:name w:val="xl7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8"/>
      <w:szCs w:val="28"/>
    </w:rPr>
  </w:style>
  <w:style w:type="paragraph" w:styleId="para24" w:customStyle="1">
    <w:name w:val="xl80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25" w:customStyle="1">
    <w:name w:val="xl81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26" w:customStyle="1">
    <w:name w:val="xl8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27" w:customStyle="1">
    <w:name w:val="xl83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28" w:customStyle="1">
    <w:name w:val="xl8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29" w:customStyle="1">
    <w:name w:val="xl85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0" w:customStyle="1">
    <w:name w:val="xl8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1" w:customStyle="1">
    <w:name w:val="xl87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2" w:customStyle="1">
    <w:name w:val="xl8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3" w:customStyle="1">
    <w:name w:val="xl8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34" w:customStyle="1">
    <w:name w:val="xl90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35" w:customStyle="1">
    <w:name w:val="xl9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6" w:customStyle="1">
    <w:name w:val="xl9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7" w:customStyle="1">
    <w:name w:val="xl93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8"/>
      <w:szCs w:val="28"/>
    </w:rPr>
  </w:style>
  <w:style w:type="paragraph" w:styleId="para38" w:customStyle="1">
    <w:name w:val="xl9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39" w:customStyle="1">
    <w:name w:val="xl95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40" w:customStyle="1">
    <w:name w:val="xl9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41" w:customStyle="1">
    <w:name w:val="xl97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color w:val="000000"/>
      <w:sz w:val="24"/>
      <w:szCs w:val="24"/>
    </w:rPr>
  </w:style>
  <w:style w:type="paragraph" w:styleId="para42" w:customStyle="1">
    <w:name w:val="xl98"/>
    <w:qFormat/>
    <w:basedOn w:val="para0"/>
    <w:pPr>
      <w:spacing w:before="280" w:after="280"/>
      <w:jc w:val="center"/>
      <w:pBdr>
        <w:top w:val="nil" w:sz="0" w:space="3" w:color="000000" tmln="20, 20, 20, 0, 6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color w:val="000000"/>
      <w:sz w:val="24"/>
      <w:szCs w:val="24"/>
    </w:rPr>
  </w:style>
  <w:style w:type="paragraph" w:styleId="para43" w:customStyle="1">
    <w:name w:val="xl9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nil" w:sz="0" w:space="3" w:color="000000" tmln="20, 20, 20, 0, 6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44" w:customStyle="1">
    <w:name w:val="xl100"/>
    <w:qFormat/>
    <w:basedOn w:val="para0"/>
    <w:pPr>
      <w:spacing w:before="280" w:after="280"/>
      <w:jc w:val="center"/>
      <w:pBdr>
        <w:top w:val="nil" w:sz="0" w:space="3" w:color="000000" tmln="20, 20, 20, 0, 6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45" w:customStyle="1">
    <w:name w:val="xl10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46" w:customStyle="1">
    <w:name w:val="xl102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47" w:customStyle="1">
    <w:name w:val="xl103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48" w:customStyle="1">
    <w:name w:val="xl10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49" w:customStyle="1">
    <w:name w:val="xl105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sz w:val="28"/>
      <w:szCs w:val="28"/>
    </w:rPr>
  </w:style>
  <w:style w:type="paragraph" w:styleId="para50" w:customStyle="1">
    <w:name w:val="xl10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51" w:customStyle="1">
    <w:name w:val="xl107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8"/>
      <w:szCs w:val="28"/>
    </w:rPr>
  </w:style>
  <w:style w:type="paragraph" w:styleId="para52" w:customStyle="1">
    <w:name w:val="xl10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nil" w:sz="0" w:space="3" w:color="000000" tmln="20, 20, 20, 0, 60"/>
        <w:right w:val="single" w:sz="4" w:space="0" w:color="000000" tmln="10, 20, 20, 0, 0"/>
        <w:between w:val="nil" w:sz="0" w:space="0" w:color="000000" tmln="20, 20, 20, 0, 0"/>
      </w:pBdr>
      <w:shd w:val="none"/>
    </w:pPr>
    <w:rPr>
      <w:color w:val="000000"/>
      <w:sz w:val="24"/>
      <w:szCs w:val="24"/>
    </w:rPr>
  </w:style>
  <w:style w:type="paragraph" w:styleId="para53" w:customStyle="1">
    <w:name w:val="xl109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color w:val="000000"/>
      <w:sz w:val="24"/>
      <w:szCs w:val="24"/>
    </w:rPr>
  </w:style>
  <w:style w:type="paragraph" w:styleId="para54" w:customStyle="1">
    <w:name w:val="xl110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4"/>
      <w:szCs w:val="24"/>
    </w:rPr>
  </w:style>
  <w:style w:type="paragraph" w:styleId="para55" w:customStyle="1">
    <w:name w:val="xl111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color w:val="000000"/>
      <w:sz w:val="24"/>
      <w:szCs w:val="24"/>
    </w:rPr>
  </w:style>
  <w:style w:type="paragraph" w:styleId="para56" w:customStyle="1">
    <w:name w:val="xl112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sz w:val="24"/>
      <w:szCs w:val="24"/>
    </w:rPr>
  </w:style>
  <w:style w:type="paragraph" w:styleId="para57" w:customStyle="1">
    <w:name w:val="xl113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2CC" tmshd="6553856, 13431551, 16777215"/>
    </w:pPr>
    <w:rPr>
      <w:color w:val="000000"/>
      <w:sz w:val="24"/>
      <w:szCs w:val="24"/>
    </w:rPr>
  </w:style>
  <w:style w:type="paragraph" w:styleId="para58" w:customStyle="1">
    <w:name w:val="xl11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color w:val="000000"/>
      <w:sz w:val="24"/>
      <w:szCs w:val="24"/>
    </w:rPr>
  </w:style>
  <w:style w:type="paragraph" w:styleId="para59" w:customStyle="1">
    <w:name w:val="xl115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E2EFDA" tmshd="6553856, 14348258, 16777215"/>
    </w:pPr>
    <w:rPr>
      <w:color w:val="000000"/>
      <w:sz w:val="24"/>
      <w:szCs w:val="24"/>
    </w:rPr>
  </w:style>
  <w:style w:type="paragraph" w:styleId="para60" w:customStyle="1">
    <w:name w:val="xl11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color w:val="000000"/>
      <w:sz w:val="24"/>
      <w:szCs w:val="24"/>
    </w:rPr>
  </w:style>
  <w:style w:type="paragraph" w:styleId="para61" w:customStyle="1">
    <w:name w:val="xl117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62" w:customStyle="1">
    <w:name w:val="xl11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BDD7EE" tmshd="6553856, 15652797, 16777215"/>
    </w:pPr>
    <w:rPr>
      <w:color w:val="000000"/>
      <w:sz w:val="24"/>
      <w:szCs w:val="24"/>
    </w:rPr>
  </w:style>
  <w:style w:type="paragraph" w:styleId="para63" w:customStyle="1">
    <w:name w:val="xl11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64" w:customStyle="1">
    <w:name w:val="xl120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65" w:customStyle="1">
    <w:name w:val="xl12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color w:val="000000"/>
      <w:sz w:val="24"/>
      <w:szCs w:val="24"/>
    </w:rPr>
  </w:style>
  <w:style w:type="paragraph" w:styleId="para66" w:customStyle="1">
    <w:name w:val="xl12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E2EFDA" tmshd="6553856, 14348258, 16777215"/>
    </w:pPr>
    <w:rPr>
      <w:color w:val="000000"/>
      <w:sz w:val="24"/>
      <w:szCs w:val="24"/>
    </w:rPr>
  </w:style>
  <w:style w:type="paragraph" w:styleId="para67" w:customStyle="1">
    <w:name w:val="xl123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68" w:customStyle="1">
    <w:name w:val="xl12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69" w:customStyle="1">
    <w:name w:val="xl125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0" w:customStyle="1">
    <w:name w:val="xl12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1" w:customStyle="1">
    <w:name w:val="xl127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4"/>
      <w:szCs w:val="24"/>
    </w:rPr>
  </w:style>
  <w:style w:type="paragraph" w:styleId="para72" w:customStyle="1">
    <w:name w:val="xl12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4"/>
      <w:szCs w:val="24"/>
    </w:rPr>
  </w:style>
  <w:style w:type="paragraph" w:styleId="para73" w:customStyle="1">
    <w:name w:val="xl12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4"/>
      <w:szCs w:val="24"/>
    </w:rPr>
  </w:style>
  <w:style w:type="paragraph" w:styleId="para74" w:customStyle="1">
    <w:name w:val="xl130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4"/>
      <w:szCs w:val="24"/>
    </w:rPr>
  </w:style>
  <w:style w:type="paragraph" w:styleId="para75" w:customStyle="1">
    <w:name w:val="xl13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6" w:customStyle="1">
    <w:name w:val="xl13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7" w:customStyle="1">
    <w:name w:val="xl133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8" w:customStyle="1">
    <w:name w:val="xl134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nil" w:sz="0" w:space="3" w:color="000000" tmln="20, 20, 20, 0, 6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79" w:customStyle="1">
    <w:name w:val="xl135"/>
    <w:qFormat/>
    <w:basedOn w:val="para0"/>
    <w:pPr>
      <w:spacing w:before="280" w:after="280"/>
      <w:jc w:val="center"/>
      <w:pBdr>
        <w:top w:val="nil" w:sz="0" w:space="3" w:color="000000" tmln="20, 20, 20, 0, 6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0" w:customStyle="1">
    <w:name w:val="xl136"/>
    <w:qFormat/>
    <w:basedOn w:val="para0"/>
    <w:pPr>
      <w:spacing w:before="280" w:after="280"/>
      <w:jc w:val="center"/>
      <w:pBdr>
        <w:top w:val="nil" w:sz="0" w:space="3" w:color="000000" tmln="20, 20, 20, 0, 6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1" w:customStyle="1">
    <w:name w:val="xl137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2" w:customStyle="1">
    <w:name w:val="xl138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3" w:customStyle="1">
    <w:name w:val="xl139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4" w:customStyle="1">
    <w:name w:val="xl140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5" w:customStyle="1">
    <w:name w:val="xl141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6" w:customStyle="1">
    <w:name w:val="xl14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7" w:customStyle="1">
    <w:name w:val="xl143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nil" w:sz="0" w:space="3" w:color="000000" tmln="20, 20, 20, 0, 6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8" w:customStyle="1">
    <w:name w:val="xl144"/>
    <w:qFormat/>
    <w:basedOn w:val="para0"/>
    <w:pPr>
      <w:spacing w:before="280" w:after="280"/>
      <w:jc w:val="center"/>
      <w:pBdr>
        <w:top w:val="nil" w:sz="0" w:space="3" w:color="000000" tmln="20, 20, 20, 0, 6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89" w:customStyle="1">
    <w:name w:val="xl145"/>
    <w:qFormat/>
    <w:basedOn w:val="para0"/>
    <w:pPr>
      <w:spacing w:before="280" w:after="280"/>
      <w:jc w:val="center"/>
      <w:pBdr>
        <w:top w:val="nil" w:sz="0" w:space="3" w:color="000000" tmln="20, 20, 20, 0, 6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0" w:customStyle="1">
    <w:name w:val="xl146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1" w:customStyle="1">
    <w:name w:val="xl147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2" w:customStyle="1">
    <w:name w:val="xl148"/>
    <w:qFormat/>
    <w:basedOn w:val="para0"/>
    <w:pPr>
      <w:spacing w:before="280" w:after="280"/>
      <w:jc w:val="center"/>
      <w:pBdr>
        <w:top w:val="nil" w:sz="0" w:space="3" w:color="000000" tmln="20, 20, 20, 0, 60"/>
        <w:left w:val="nil" w:sz="0" w:space="3" w:color="000000" tmln="20, 20, 20, 0, 6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3" w:customStyle="1">
    <w:name w:val="xl149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solid" w:color="FFFFFF" tmshd="6553856, 16777215, 16777215"/>
    </w:pPr>
    <w:rPr>
      <w:b/>
      <w:bCs/>
      <w:color w:val="000000"/>
      <w:sz w:val="24"/>
      <w:szCs w:val="24"/>
    </w:rPr>
  </w:style>
  <w:style w:type="paragraph" w:styleId="para94" w:customStyle="1">
    <w:name w:val="xl150"/>
    <w:qFormat/>
    <w:basedOn w:val="para0"/>
    <w:pPr>
      <w:spacing w:before="280" w:after="280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24"/>
      <w:szCs w:val="24"/>
    </w:rPr>
  </w:style>
  <w:style w:type="paragraph" w:styleId="para95" w:customStyle="1">
    <w:name w:val="xl151"/>
    <w:qFormat/>
    <w:basedOn w:val="para0"/>
    <w:pPr>
      <w:spacing w:before="280" w:after="280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6" w:customStyle="1">
    <w:name w:val="xl152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7" w:customStyle="1">
    <w:name w:val="xl153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8" w:customStyle="1">
    <w:name w:val="xl154"/>
    <w:qFormat/>
    <w:basedOn w:val="para0"/>
    <w:pPr>
      <w:spacing w:before="280" w:after="280"/>
      <w:jc w:val="center"/>
      <w:pBdr>
        <w:top w:val="single" w:sz="4" w:space="0" w:color="000000" tmln="10, 20, 20, 0, 0"/>
        <w:left w:val="single" w:sz="4" w:space="0" w:color="000000" tmln="10, 20, 20, 0, 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99" w:customStyle="1">
    <w:name w:val="xl155"/>
    <w:qFormat/>
    <w:basedOn w:val="para0"/>
    <w:pPr>
      <w:spacing w:before="280" w:after="280"/>
      <w:jc w:val="center"/>
      <w:pBdr>
        <w:top w:val="single" w:sz="4" w:space="0" w:color="000000" tmln="10, 20, 20, 0, 0"/>
        <w:left w:val="nil" w:sz="0" w:space="3" w:color="000000" tmln="20, 20, 20, 0, 60"/>
        <w:bottom w:val="nil" w:sz="0" w:space="3" w:color="000000" tmln="20, 20, 20, 0, 6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100" w:customStyle="1">
    <w:name w:val="xl156"/>
    <w:qFormat/>
    <w:basedOn w:val="para0"/>
    <w:pPr>
      <w:spacing w:before="280" w:after="280"/>
      <w:jc w:val="center"/>
      <w:pBdr>
        <w:top w:val="nil" w:sz="0" w:space="3" w:color="000000" tmln="20, 20, 20, 0, 6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101" w:customStyle="1">
    <w:name w:val="xl157"/>
    <w:qFormat/>
    <w:basedOn w:val="para0"/>
    <w:pPr>
      <w:spacing w:before="280" w:after="280"/>
      <w:jc w:val="center"/>
      <w:pBdr>
        <w:top w:val="nil" w:sz="0" w:space="3" w:color="000000" tmln="20, 20, 20, 0, 6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4"/>
      <w:szCs w:val="24"/>
    </w:rPr>
  </w:style>
  <w:style w:type="paragraph" w:styleId="para102" w:customStyle="1">
    <w:name w:val="Содержимое таблицы"/>
    <w:qFormat/>
    <w:basedOn w:val="para0"/>
    <w:pPr>
      <w:suppressLineNumbers/>
      <w:widowControl w:val="0"/>
    </w:pPr>
  </w:style>
  <w:style w:type="paragraph" w:styleId="para103" w:customStyle="1">
    <w:name w:val="Заголовок таблицы"/>
    <w:qFormat/>
    <w:basedOn w:val="para102"/>
    <w:pPr>
      <w:spacing/>
      <w:jc w:val="center"/>
    </w:pPr>
    <w:rPr>
      <w:b/>
      <w:bCs/>
    </w:rPr>
  </w:style>
  <w:style w:type="paragraph" w:styleId="para104">
    <w:name w:val="Normal (Web)"/>
    <w:qFormat/>
    <w:basedOn w:val="para0"/>
    <w:pPr>
      <w:spacing w:after="225"/>
    </w:pPr>
    <w:rPr>
      <w:sz w:val="24"/>
      <w:szCs w:val="24"/>
    </w:rPr>
  </w:style>
  <w:style w:type="paragraph" w:styleId="para105" w:customStyle="1">
    <w:name w:val="Название объекта1"/>
    <w:qFormat/>
    <w:basedOn w:val="para0"/>
    <w:next w:val="para0"/>
    <w:pPr>
      <w:spacing w:before="120"/>
      <w:jc w:val="both"/>
      <w:keepNext/>
    </w:pPr>
    <w:rPr>
      <w:b/>
      <w:bCs/>
      <w:sz w:val="24"/>
      <w:szCs w:val="24"/>
    </w:rPr>
  </w:style>
  <w:style w:type="paragraph" w:styleId="para106">
    <w:name w:val="Footer"/>
    <w:qFormat/>
    <w:basedOn w:val="para0"/>
    <w:pPr>
      <w:tabs defTabSz="708"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para107" w:customStyle="1">
    <w:name w:val="Основной текст с отступом 31"/>
    <w:qFormat/>
    <w:basedOn w:val="para0"/>
    <w:pPr>
      <w:ind w:firstLine="567"/>
      <w:spacing/>
      <w:jc w:val="both"/>
      <w:widowControl w:val="0"/>
      <w:tabs defTabSz="708">
        <w:tab w:val="left" w:pos="499" w:leader="none"/>
        <w:tab w:val="left" w:pos="8884" w:leader="none"/>
      </w:tabs>
    </w:pPr>
    <w:rPr>
      <w:sz w:val="28"/>
      <w:szCs w:val="24"/>
    </w:rPr>
  </w:style>
  <w:style w:type="paragraph" w:styleId="para108" w:customStyle="1">
    <w:name w:val="Основной текст2"/>
    <w:qFormat/>
    <w:basedOn w:val="para0"/>
    <w:pPr>
      <w:spacing w:after="300" w:line="326" w:lineRule="exact"/>
      <w:jc w:val="center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6553856, 16777215, 16777215"/>
    </w:pPr>
    <w:rPr>
      <w:sz w:val="26"/>
      <w:szCs w:val="26"/>
      <w:lang w:eastAsia="ru-ru"/>
    </w:rPr>
  </w:style>
  <w:style w:type="paragraph" w:styleId="para109">
    <w:name w:val="Balloon Text"/>
    <w:qFormat/>
    <w:basedOn w:val="para0"/>
    <w:rPr>
      <w:rFonts w:ascii="Segoe UI" w:hAnsi="Segoe UI" w:cs="Segoe UI"/>
      <w:sz w:val="18"/>
      <w:szCs w:val="18"/>
    </w:rPr>
  </w:style>
  <w:style w:type="paragraph" w:styleId="para110">
    <w:name w:val="List Paragraph"/>
    <w:qFormat/>
    <w:basedOn w:val="para0"/>
    <w:pPr>
      <w:ind w:left="720"/>
      <w:spacing w:after="200" w:line="276" w:lineRule="auto"/>
      <w:contextualSpacing/>
    </w:pPr>
    <w:rPr>
      <w:rFonts w:ascii="Calibri" w:hAnsi="Calibri" w:eastAsia="Calibri" w:cs="Calibri"/>
      <w:sz w:val="22"/>
      <w:szCs w:val="22"/>
      <w:lang w:eastAsia="ru-ru"/>
    </w:rPr>
  </w:style>
  <w:style w:type="paragraph" w:styleId="para111" w:customStyle="1">
    <w:name w:val="ConsPlusNormal"/>
    <w:qFormat/>
    <w:pPr>
      <w:hyphenationLines w:val="1"/>
      <w:widowControl w:val="0"/>
    </w:pPr>
    <w:rPr>
      <w:rFonts w:ascii="Calibri" w:hAnsi="Calibri" w:eastAsia="Times New Roman" w:cs="Calibri"/>
      <w:sz w:val="22"/>
      <w:lang w:val="ru-ru" w:eastAsia="ru-ru" w:bidi="ar-sa"/>
    </w:rPr>
  </w:style>
  <w:style w:type="character" w:styleId="char0" w:default="1">
    <w:name w:val="Default Paragraph Font"/>
  </w:style>
  <w:style w:type="character" w:styleId="char1" w:customStyle="1">
    <w:name w:val="WW8Num1z0"/>
  </w:style>
  <w:style w:type="character" w:styleId="char2" w:customStyle="1">
    <w:name w:val="Основной шрифт абзаца1"/>
  </w:style>
  <w:style w:type="character" w:styleId="char3">
    <w:name w:val="Hyperlink"/>
    <w:rPr>
      <w:color w:val="0563c1"/>
      <w:u w:color="auto" w:val="single"/>
    </w:rPr>
  </w:style>
  <w:style w:type="character" w:styleId="char4">
    <w:name w:val="FollowedHyperlink"/>
    <w:rPr>
      <w:color w:val="954f72"/>
      <w:u w:color="auto" w:val="single"/>
    </w:rPr>
  </w:style>
  <w:style w:type="character" w:styleId="char5" w:customStyle="1">
    <w:name w:val="WW8Num6z0"/>
    <w:rPr>
      <w:rFonts w:ascii="Symbol" w:hAnsi="Symbol" w:cs="Symbol"/>
    </w:rPr>
  </w:style>
  <w:style w:type="character" w:styleId="char6" w:customStyle="1">
    <w:name w:val="WW8Num6z1"/>
    <w:rPr>
      <w:rFonts w:ascii="Courier New" w:hAnsi="Courier New" w:cs="Courier New"/>
    </w:rPr>
  </w:style>
  <w:style w:type="character" w:styleId="char7" w:customStyle="1">
    <w:name w:val="WW8Num6z2"/>
    <w:rPr>
      <w:rFonts w:ascii="Wingdings" w:hAnsi="Wingdings" w:cs="Wingdings"/>
    </w:rPr>
  </w:style>
  <w:style w:type="character" w:styleId="char8" w:customStyle="1">
    <w:name w:val="WW8Num7z0"/>
    <w:rPr>
      <w:sz w:val="28"/>
    </w:rPr>
  </w:style>
  <w:style w:type="character" w:styleId="char9" w:customStyle="1">
    <w:name w:val="WW8Num20z0"/>
  </w:style>
  <w:style w:type="character" w:styleId="char10" w:customStyle="1">
    <w:name w:val="Текст выноски Знак"/>
    <w:rPr>
      <w:rFonts w:ascii="Segoe UI" w:hAnsi="Segoe UI" w:cs="Segoe UI"/>
      <w:sz w:val="18"/>
      <w:szCs w:val="18"/>
      <w:lang w:eastAsia="zh-cn"/>
    </w:rPr>
  </w:style>
  <w:style w:type="character" w:styleId="char11" w:customStyle="1">
    <w:name w:val="Абзац списка Знак"/>
    <w:rPr>
      <w:rFonts w:ascii="Calibri" w:hAnsi="Calibri" w:eastAsia="Calibri" w:cs="Calibri"/>
      <w:sz w:val="22"/>
      <w:szCs w:val="22"/>
    </w:rPr>
  </w:style>
  <w:style w:type="table" w:default="1" w:styleId="TableNormal">
    <w:name w:val="Обычная таблица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pPr>
      <w:widowControl w:val="0"/>
    </w:pPr>
    <w:rPr>
      <w:rFonts w:ascii="Tahoma" w:hAnsi="Tahoma" w:eastAsia="Tahoma" w:cs="Tahoma"/>
      <w:sz w:val="24"/>
      <w:szCs w:val="24"/>
      <w:lang w:val="en-us" w:bidi="en-us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microsoft.com/office/2007/relationships/stylesWithEffects" Target="stylesWithEffects.xml"/><Relationship Id="rId8" Type="http://schemas.openxmlformats.org/officeDocument/2006/relationships/image" Target="media/image1.jpeg"/><Relationship Id="rId9" Type="http://schemas.openxmlformats.org/officeDocument/2006/relationships/image" Target="media/image2.png"/><Relationship Id="rId10" Type="http://schemas.openxmlformats.org/officeDocument/2006/relationships/hyperlink" Target="https://login.consultant.ru/link/?req=doc&amp;base=LAW&amp;n=506972&amp;dst=101029" TargetMode="External"/><Relationship Id="rId11" Type="http://schemas.openxmlformats.org/officeDocument/2006/relationships/hyperlink" Target="https://login.consultant.ru/link/?req=doc&amp;base=LAW&amp;n=506972&amp;dst=101033" TargetMode="External"/><Relationship Id="rId12" Type="http://schemas.openxmlformats.org/officeDocument/2006/relationships/hyperlink" Target="https://login.consultant.ru/link/?req=doc&amp;base=LAW&amp;n=506972&amp;dst=101283" TargetMode="External"/><Relationship Id="rId13" Type="http://schemas.openxmlformats.org/officeDocument/2006/relationships/hyperlink" Target="https://login.consultant.ru/link/?req=doc&amp;base=LAW&amp;n=506972&amp;dst=101285" TargetMode="External"/><Relationship Id="rId14" Type="http://schemas.openxmlformats.org/officeDocument/2006/relationships/hyperlink" Target="https://login.consultant.ru/link/?req=doc&amp;base=LAW&amp;n=506972&amp;dst=101308" TargetMode="External"/><Relationship Id="rId15" Type="http://schemas.openxmlformats.org/officeDocument/2006/relationships/hyperlink" Target="https://login.consultant.ru/link/?req=doc&amp;base=LAW&amp;n=506972&amp;dst=100124" TargetMode="External"/><Relationship Id="rId16" Type="http://schemas.openxmlformats.org/officeDocument/2006/relationships/hyperlink" Target="https://login.consultant.ru/link/?req=doc&amp;base=LAW&amp;n=506972&amp;dst=100061" TargetMode="External"/><Relationship Id="rId1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FFFFFF"/>
      </a:dk1>
      <a:lt1>
        <a:sysClr val="window" lastClr="00000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free rev.1222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Света</dc:creator>
  <cp:keywords/>
  <dc:description/>
  <cp:lastModifiedBy/>
  <cp:revision>15</cp:revision>
  <cp:lastPrinted>2026-08-14T04:09:00Z</cp:lastPrinted>
  <dcterms:created xsi:type="dcterms:W3CDTF">2026-07-02T02:41:00Z</dcterms:created>
  <dcterms:modified xsi:type="dcterms:W3CDTF">2026-08-19T06:20:11Z</dcterms:modified>
</cp:coreProperties>
</file>